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kinsoku/>
        <w:wordWrap/>
        <w:overflowPunct/>
        <w:topLinePunct w:val="0"/>
        <w:autoSpaceDE/>
        <w:autoSpaceDN/>
        <w:bidi w:val="0"/>
        <w:adjustRightInd/>
        <w:snapToGrid/>
        <w:spacing w:before="0" w:after="0" w:line="550" w:lineRule="exact"/>
        <w:ind w:firstLine="720" w:firstLineChars="200"/>
        <w:jc w:val="both"/>
        <w:textAlignment w:val="auto"/>
        <w:rPr>
          <w:rFonts w:hint="eastAsia" w:ascii="微软雅黑" w:hAnsi="微软雅黑" w:eastAsia="微软雅黑" w:cs="微软雅黑"/>
          <w:color w:val="auto"/>
          <w:sz w:val="36"/>
          <w:szCs w:val="36"/>
          <w:lang w:eastAsia="zh-CN"/>
        </w:rPr>
      </w:pPr>
      <w:r>
        <w:rPr>
          <w:rFonts w:hint="eastAsia" w:ascii="微软雅黑" w:hAnsi="微软雅黑" w:eastAsia="微软雅黑" w:cs="微软雅黑"/>
          <w:color w:val="auto"/>
          <w:sz w:val="36"/>
          <w:szCs w:val="36"/>
          <w:lang w:val="en-US" w:eastAsia="zh-CN"/>
        </w:rPr>
        <w:t>2024年</w:t>
      </w:r>
      <w:r>
        <w:rPr>
          <w:rFonts w:hint="eastAsia" w:ascii="微软雅黑" w:hAnsi="微软雅黑" w:eastAsia="微软雅黑" w:cs="微软雅黑"/>
          <w:color w:val="auto"/>
          <w:sz w:val="36"/>
          <w:szCs w:val="36"/>
          <w:lang w:eastAsia="zh-CN"/>
        </w:rPr>
        <w:t>宁乡市</w:t>
      </w:r>
      <w:r>
        <w:rPr>
          <w:rFonts w:hint="eastAsia" w:ascii="微软雅黑" w:hAnsi="微软雅黑" w:eastAsia="微软雅黑" w:cs="微软雅黑"/>
          <w:color w:val="auto"/>
          <w:sz w:val="36"/>
          <w:szCs w:val="36"/>
        </w:rPr>
        <w:t>保障特殊群体子女入学</w:t>
      </w:r>
      <w:r>
        <w:rPr>
          <w:rFonts w:hint="eastAsia" w:ascii="微软雅黑" w:hAnsi="微软雅黑" w:eastAsia="微软雅黑" w:cs="微软雅黑"/>
          <w:color w:val="auto"/>
          <w:sz w:val="36"/>
          <w:szCs w:val="36"/>
          <w:lang w:eastAsia="zh-CN"/>
        </w:rPr>
        <w:t>优待政策</w:t>
      </w:r>
    </w:p>
    <w:p>
      <w:pPr>
        <w:rPr>
          <w:rFonts w:hint="default"/>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ascii="仿宋_GB2312" w:hAnsi="仿宋_GB2312" w:eastAsia="仿宋_GB2312" w:cs="仿宋_GB2312"/>
          <w:color w:val="auto"/>
          <w:sz w:val="32"/>
          <w:szCs w:val="32"/>
        </w:rPr>
      </w:pPr>
      <w:r>
        <w:rPr>
          <w:rFonts w:hint="eastAsia" w:ascii="Times New Roman" w:hAnsi="Times New Roman" w:eastAsia="楷体_GB2312" w:cs="楷体_GB2312"/>
          <w:b/>
          <w:bCs/>
          <w:color w:val="auto"/>
          <w:sz w:val="32"/>
          <w:szCs w:val="32"/>
          <w:lang w:val="en-US" w:eastAsia="zh-CN"/>
        </w:rPr>
        <w:t>1</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sz w:val="32"/>
          <w:szCs w:val="32"/>
        </w:rPr>
        <w:t>进城务工人员随迁子女入学。</w:t>
      </w:r>
      <w:r>
        <w:rPr>
          <w:rFonts w:hint="eastAsia" w:ascii="仿宋_GB2312" w:hAnsi="仿宋_GB2312" w:eastAsia="仿宋_GB2312" w:cs="仿宋_GB2312"/>
          <w:color w:val="auto"/>
          <w:sz w:val="32"/>
          <w:szCs w:val="32"/>
        </w:rPr>
        <w:t>根据省、市关于对来宁乡市务工人员随迁子女入学精神，妥善解决随迁子女入学问题，切实保障随迁子女平等接受义务教育，父母在城区合法经商务工的，提供工商营业执照（或务工证明）、宁乡市职工基本养老保险证明（</w:t>
      </w:r>
      <w:r>
        <w:rPr>
          <w:rFonts w:hint="eastAsia" w:ascii="仿宋_GB2312" w:hAnsi="仿宋_GB2312" w:eastAsia="仿宋_GB2312" w:cs="仿宋_GB2312"/>
          <w:color w:val="auto"/>
          <w:sz w:val="32"/>
          <w:szCs w:val="32"/>
          <w:lang w:eastAsia="zh-CN"/>
        </w:rPr>
        <w:t>截至</w:t>
      </w:r>
      <w:r>
        <w:rPr>
          <w:rFonts w:hint="eastAsia" w:ascii="Times New Roman" w:hAnsi="Times New Roman" w:eastAsia="仿宋_GB2312" w:cs="仿宋_GB2312"/>
          <w:color w:val="auto"/>
          <w:sz w:val="32"/>
          <w:szCs w:val="32"/>
          <w:lang w:eastAsia="zh-CN"/>
        </w:rPr>
        <w:t>202</w:t>
      </w:r>
      <w:r>
        <w:rPr>
          <w:rFonts w:hint="eastAsia" w:ascii="Times New Roman" w:hAnsi="Times New Roman"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年</w:t>
      </w:r>
      <w:r>
        <w:rPr>
          <w:rFonts w:hint="eastAsia" w:ascii="Times New Roman" w:hAnsi="Times New Roman"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31</w:t>
      </w:r>
      <w:r>
        <w:rPr>
          <w:rFonts w:hint="eastAsia" w:ascii="仿宋_GB2312" w:hAnsi="仿宋_GB2312" w:eastAsia="仿宋_GB2312" w:cs="仿宋_GB2312"/>
          <w:color w:val="auto"/>
          <w:sz w:val="32"/>
          <w:szCs w:val="32"/>
          <w:lang w:val="en-US" w:eastAsia="zh-CN"/>
        </w:rPr>
        <w:t>日以前</w:t>
      </w:r>
      <w:r>
        <w:rPr>
          <w:rFonts w:hint="eastAsia" w:ascii="仿宋_GB2312" w:hAnsi="仿宋_GB2312" w:eastAsia="仿宋_GB2312" w:cs="仿宋_GB2312"/>
          <w:color w:val="auto"/>
          <w:sz w:val="32"/>
          <w:szCs w:val="32"/>
        </w:rPr>
        <w:t>满一年以上）、法定监护人的</w:t>
      </w:r>
      <w:r>
        <w:rPr>
          <w:rFonts w:hint="eastAsia" w:ascii="仿宋_GB2312" w:hAnsi="仿宋_GB2312" w:eastAsia="仿宋_GB2312" w:cs="仿宋_GB2312"/>
          <w:color w:val="auto"/>
          <w:sz w:val="32"/>
          <w:szCs w:val="32"/>
          <w:lang w:eastAsia="zh-CN"/>
        </w:rPr>
        <w:t>户口簿</w:t>
      </w:r>
      <w:r>
        <w:rPr>
          <w:rFonts w:hint="eastAsia" w:ascii="仿宋_GB2312" w:hAnsi="仿宋_GB2312" w:eastAsia="仿宋_GB2312" w:cs="仿宋_GB2312"/>
          <w:color w:val="auto"/>
          <w:sz w:val="32"/>
          <w:szCs w:val="32"/>
        </w:rPr>
        <w:t>、身份证网上报名，按照生源排序的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无</w:t>
      </w:r>
      <w:r>
        <w:rPr>
          <w:rFonts w:hint="eastAsia" w:ascii="仿宋_GB2312" w:hAnsi="仿宋_GB2312" w:eastAsia="仿宋_GB2312" w:cs="仿宋_GB2312"/>
          <w:color w:val="auto"/>
          <w:sz w:val="32"/>
          <w:szCs w:val="32"/>
          <w:lang w:val="en-US" w:eastAsia="zh-CN"/>
        </w:rPr>
        <w:t>户</w:t>
      </w:r>
      <w:r>
        <w:rPr>
          <w:rFonts w:hint="eastAsia" w:ascii="仿宋_GB2312" w:hAnsi="仿宋_GB2312" w:eastAsia="仿宋_GB2312" w:cs="仿宋_GB2312"/>
          <w:color w:val="auto"/>
          <w:sz w:val="32"/>
          <w:szCs w:val="32"/>
        </w:rPr>
        <w:t>无</w:t>
      </w:r>
      <w:r>
        <w:rPr>
          <w:rFonts w:hint="eastAsia" w:ascii="仿宋_GB2312" w:hAnsi="仿宋_GB2312" w:eastAsia="仿宋_GB2312" w:cs="仿宋_GB2312"/>
          <w:color w:val="auto"/>
          <w:sz w:val="32"/>
          <w:szCs w:val="32"/>
          <w:lang w:val="en-US" w:eastAsia="zh-CN"/>
        </w:rPr>
        <w:t>房”</w:t>
      </w:r>
      <w:r>
        <w:rPr>
          <w:rFonts w:hint="eastAsia" w:ascii="仿宋_GB2312" w:hAnsi="仿宋_GB2312" w:eastAsia="仿宋_GB2312" w:cs="仿宋_GB2312"/>
          <w:color w:val="auto"/>
          <w:sz w:val="32"/>
          <w:szCs w:val="32"/>
        </w:rPr>
        <w:t>类落实。</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50" w:lineRule="exact"/>
        <w:ind w:firstLine="640" w:firstLineChars="200"/>
        <w:jc w:val="both"/>
        <w:textAlignment w:val="auto"/>
        <w:rPr>
          <w:rFonts w:ascii="仿宋_GB2312" w:hAnsi="仿宋_GB2312" w:eastAsia="仿宋_GB2312" w:cs="仿宋_GB2312"/>
          <w:color w:val="auto"/>
          <w:kern w:val="0"/>
          <w:sz w:val="32"/>
          <w:szCs w:val="32"/>
        </w:rPr>
      </w:pPr>
      <w:r>
        <w:rPr>
          <w:rFonts w:hint="eastAsia" w:ascii="Times New Roman" w:hAnsi="Times New Roman" w:eastAsia="楷体_GB2312" w:cs="楷体_GB2312"/>
          <w:b/>
          <w:bCs/>
          <w:color w:val="auto"/>
          <w:kern w:val="2"/>
          <w:sz w:val="32"/>
          <w:szCs w:val="32"/>
          <w:lang w:val="en-US" w:eastAsia="zh-CN"/>
        </w:rPr>
        <w:t>2</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kern w:val="2"/>
          <w:sz w:val="32"/>
          <w:szCs w:val="32"/>
        </w:rPr>
        <w:t>残疾儿童入学</w:t>
      </w:r>
      <w:r>
        <w:rPr>
          <w:rFonts w:hint="eastAsia" w:ascii="楷体_GB2312" w:hAnsi="楷体_GB2312" w:eastAsia="楷体_GB2312" w:cs="楷体_GB2312"/>
          <w:b/>
          <w:bCs/>
          <w:color w:val="auto"/>
          <w:kern w:val="2"/>
          <w:sz w:val="32"/>
          <w:szCs w:val="32"/>
          <w:lang w:val="en-US" w:eastAsia="zh-CN"/>
        </w:rPr>
        <w:t>。</w:t>
      </w:r>
      <w:r>
        <w:rPr>
          <w:rFonts w:hint="eastAsia" w:ascii="仿宋_GB2312" w:hAnsi="仿宋_GB2312" w:eastAsia="仿宋_GB2312" w:cs="仿宋_GB2312"/>
          <w:color w:val="auto"/>
          <w:kern w:val="0"/>
          <w:sz w:val="32"/>
          <w:szCs w:val="32"/>
        </w:rPr>
        <w:t>把党和政府对“三类”残疾适龄儿童</w:t>
      </w:r>
      <w:r>
        <w:rPr>
          <w:rFonts w:hint="eastAsia" w:ascii="仿宋_GB2312" w:hAnsi="仿宋_GB2312" w:eastAsia="仿宋_GB2312" w:cs="仿宋_GB2312"/>
          <w:color w:val="auto"/>
          <w:kern w:val="0"/>
          <w:sz w:val="32"/>
          <w:szCs w:val="32"/>
          <w:lang w:eastAsia="zh-CN"/>
        </w:rPr>
        <w:t>（少年）</w:t>
      </w:r>
      <w:r>
        <w:rPr>
          <w:rFonts w:hint="eastAsia" w:ascii="仿宋_GB2312" w:hAnsi="仿宋_GB2312" w:eastAsia="仿宋_GB2312" w:cs="仿宋_GB2312"/>
          <w:color w:val="auto"/>
          <w:kern w:val="0"/>
          <w:sz w:val="32"/>
          <w:szCs w:val="32"/>
        </w:rPr>
        <w:t>的关爱落实到行动中，凡符合就近入学原则的</w:t>
      </w:r>
      <w:r>
        <w:rPr>
          <w:rFonts w:hint="eastAsia" w:ascii="仿宋_GB2312" w:hAnsi="仿宋_GB2312" w:eastAsia="仿宋_GB2312" w:cs="仿宋_GB2312"/>
          <w:color w:val="auto"/>
          <w:kern w:val="0"/>
          <w:sz w:val="32"/>
          <w:szCs w:val="32"/>
          <w:lang w:eastAsia="zh-CN"/>
        </w:rPr>
        <w:t>残疾</w:t>
      </w:r>
      <w:r>
        <w:rPr>
          <w:rFonts w:hint="eastAsia" w:ascii="仿宋_GB2312" w:hAnsi="仿宋_GB2312" w:eastAsia="仿宋_GB2312" w:cs="仿宋_GB2312"/>
          <w:color w:val="auto"/>
          <w:kern w:val="0"/>
          <w:sz w:val="32"/>
          <w:szCs w:val="32"/>
        </w:rPr>
        <w:t>儿童</w:t>
      </w:r>
      <w:r>
        <w:rPr>
          <w:rFonts w:hint="eastAsia" w:ascii="仿宋_GB2312" w:hAnsi="仿宋_GB2312" w:eastAsia="仿宋_GB2312" w:cs="仿宋_GB2312"/>
          <w:color w:val="auto"/>
          <w:kern w:val="0"/>
          <w:sz w:val="32"/>
          <w:szCs w:val="32"/>
          <w:lang w:eastAsia="zh-CN"/>
        </w:rPr>
        <w:t>（少年）</w:t>
      </w:r>
      <w:r>
        <w:rPr>
          <w:rFonts w:hint="eastAsia" w:ascii="仿宋_GB2312" w:hAnsi="仿宋_GB2312" w:eastAsia="仿宋_GB2312" w:cs="仿宋_GB2312"/>
          <w:color w:val="auto"/>
          <w:kern w:val="0"/>
          <w:sz w:val="32"/>
          <w:szCs w:val="32"/>
        </w:rPr>
        <w:t>，经家长申请，应接收他们到学校随班就读，不得借故拒收</w:t>
      </w:r>
      <w:r>
        <w:rPr>
          <w:rFonts w:hint="eastAsia" w:ascii="仿宋_GB2312" w:hAnsi="仿宋_GB2312" w:eastAsia="仿宋_GB2312" w:cs="仿宋_GB2312"/>
          <w:color w:val="auto"/>
          <w:kern w:val="0"/>
          <w:sz w:val="32"/>
          <w:szCs w:val="32"/>
          <w:lang w:eastAsia="zh-CN"/>
        </w:rPr>
        <w:t>，做到“应读尽读”</w:t>
      </w:r>
      <w:r>
        <w:rPr>
          <w:rFonts w:hint="eastAsia" w:ascii="仿宋_GB2312" w:hAnsi="仿宋_GB2312" w:eastAsia="仿宋_GB2312" w:cs="仿宋_GB2312"/>
          <w:color w:val="auto"/>
          <w:kern w:val="0"/>
          <w:sz w:val="32"/>
          <w:szCs w:val="32"/>
        </w:rPr>
        <w:t>。虎山</w:t>
      </w:r>
      <w:r>
        <w:rPr>
          <w:rFonts w:hint="eastAsia" w:ascii="仿宋_GB2312" w:hAnsi="仿宋_GB2312" w:eastAsia="仿宋_GB2312" w:cs="仿宋_GB2312"/>
          <w:color w:val="auto"/>
          <w:kern w:val="0"/>
          <w:sz w:val="32"/>
          <w:szCs w:val="32"/>
          <w:lang w:eastAsia="zh-CN"/>
        </w:rPr>
        <w:t>特殊教育</w:t>
      </w:r>
      <w:r>
        <w:rPr>
          <w:rFonts w:hint="eastAsia" w:ascii="仿宋_GB2312" w:hAnsi="仿宋_GB2312" w:eastAsia="仿宋_GB2312" w:cs="仿宋_GB2312"/>
          <w:color w:val="auto"/>
          <w:kern w:val="0"/>
          <w:sz w:val="32"/>
          <w:szCs w:val="32"/>
        </w:rPr>
        <w:t>学校为我市公办特教学校，招收适量智障、视障和聋哑儿童</w:t>
      </w:r>
      <w:r>
        <w:rPr>
          <w:rFonts w:hint="eastAsia" w:ascii="仿宋_GB2312" w:hAnsi="仿宋_GB2312" w:eastAsia="仿宋_GB2312" w:cs="仿宋_GB2312"/>
          <w:color w:val="auto"/>
          <w:kern w:val="0"/>
          <w:sz w:val="32"/>
          <w:szCs w:val="32"/>
          <w:lang w:eastAsia="zh-CN"/>
        </w:rPr>
        <w:t>（少年）</w:t>
      </w:r>
      <w:r>
        <w:rPr>
          <w:rFonts w:hint="eastAsia" w:ascii="仿宋_GB2312" w:hAnsi="仿宋_GB2312" w:eastAsia="仿宋_GB2312" w:cs="仿宋_GB2312"/>
          <w:color w:val="auto"/>
          <w:kern w:val="0"/>
          <w:sz w:val="32"/>
          <w:szCs w:val="32"/>
        </w:rPr>
        <w:t>就</w:t>
      </w:r>
      <w:r>
        <w:rPr>
          <w:rFonts w:hint="eastAsia" w:ascii="仿宋_GB2312" w:hAnsi="仿宋_GB2312" w:eastAsia="仿宋_GB2312" w:cs="仿宋_GB2312"/>
          <w:color w:val="auto"/>
          <w:kern w:val="0"/>
          <w:sz w:val="32"/>
          <w:szCs w:val="32"/>
          <w:lang w:val="en-US" w:eastAsia="zh-CN"/>
        </w:rPr>
        <w:t>读</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振兴小学为我市普特融合学校，</w:t>
      </w:r>
      <w:r>
        <w:rPr>
          <w:rFonts w:hint="eastAsia" w:ascii="仿宋_GB2312" w:hAnsi="仿宋_GB2312" w:eastAsia="仿宋_GB2312" w:cs="仿宋_GB2312"/>
          <w:color w:val="auto"/>
          <w:kern w:val="0"/>
          <w:sz w:val="32"/>
          <w:szCs w:val="32"/>
        </w:rPr>
        <w:t>招收适量</w:t>
      </w:r>
      <w:r>
        <w:rPr>
          <w:rFonts w:hint="eastAsia" w:ascii="仿宋_GB2312" w:hAnsi="仿宋_GB2312" w:eastAsia="仿宋_GB2312" w:cs="仿宋_GB2312"/>
          <w:color w:val="auto"/>
          <w:kern w:val="0"/>
          <w:sz w:val="32"/>
          <w:szCs w:val="32"/>
          <w:lang w:eastAsia="zh-CN"/>
        </w:rPr>
        <w:t>“三残”</w:t>
      </w:r>
      <w:r>
        <w:rPr>
          <w:rFonts w:hint="eastAsia" w:ascii="仿宋_GB2312" w:hAnsi="仿宋_GB2312" w:eastAsia="仿宋_GB2312" w:cs="仿宋_GB2312"/>
          <w:color w:val="auto"/>
          <w:kern w:val="0"/>
          <w:sz w:val="32"/>
          <w:szCs w:val="32"/>
        </w:rPr>
        <w:t>儿童就</w:t>
      </w:r>
      <w:r>
        <w:rPr>
          <w:rFonts w:hint="eastAsia" w:ascii="仿宋_GB2312" w:hAnsi="仿宋_GB2312" w:eastAsia="仿宋_GB2312" w:cs="仿宋_GB2312"/>
          <w:color w:val="auto"/>
          <w:kern w:val="0"/>
          <w:sz w:val="32"/>
          <w:szCs w:val="32"/>
          <w:lang w:val="en-US" w:eastAsia="zh-CN"/>
        </w:rPr>
        <w:t>读</w:t>
      </w:r>
      <w:r>
        <w:rPr>
          <w:rFonts w:hint="eastAsia" w:ascii="仿宋_GB2312" w:hAnsi="仿宋_GB2312" w:eastAsia="仿宋_GB2312" w:cs="仿宋_GB2312"/>
          <w:color w:val="auto"/>
          <w:kern w:val="0"/>
          <w:sz w:val="32"/>
          <w:szCs w:val="32"/>
        </w:rPr>
        <w:t>。其他残疾适龄儿童</w:t>
      </w:r>
      <w:r>
        <w:rPr>
          <w:rFonts w:hint="eastAsia" w:ascii="仿宋_GB2312" w:hAnsi="仿宋_GB2312" w:eastAsia="仿宋_GB2312" w:cs="仿宋_GB2312"/>
          <w:color w:val="auto"/>
          <w:kern w:val="0"/>
          <w:sz w:val="32"/>
          <w:szCs w:val="32"/>
          <w:lang w:eastAsia="zh-CN"/>
        </w:rPr>
        <w:t>（少年）</w:t>
      </w:r>
      <w:r>
        <w:rPr>
          <w:rFonts w:hint="eastAsia" w:ascii="仿宋_GB2312" w:hAnsi="仿宋_GB2312" w:eastAsia="仿宋_GB2312" w:cs="仿宋_GB2312"/>
          <w:color w:val="auto"/>
          <w:kern w:val="0"/>
          <w:sz w:val="32"/>
          <w:szCs w:val="32"/>
        </w:rPr>
        <w:t>通过送教上门</w:t>
      </w:r>
      <w:r>
        <w:rPr>
          <w:rFonts w:hint="eastAsia" w:ascii="仿宋_GB2312" w:hAnsi="仿宋_GB2312" w:eastAsia="仿宋_GB2312" w:cs="仿宋_GB2312"/>
          <w:color w:val="auto"/>
          <w:kern w:val="0"/>
          <w:sz w:val="32"/>
          <w:szCs w:val="32"/>
          <w:lang w:val="en-US" w:eastAsia="zh-CN"/>
        </w:rPr>
        <w:t>等</w:t>
      </w:r>
      <w:r>
        <w:rPr>
          <w:rFonts w:hint="eastAsia" w:ascii="仿宋_GB2312" w:hAnsi="仿宋_GB2312" w:eastAsia="仿宋_GB2312" w:cs="仿宋_GB2312"/>
          <w:color w:val="auto"/>
          <w:kern w:val="0"/>
          <w:sz w:val="32"/>
          <w:szCs w:val="32"/>
        </w:rPr>
        <w:t>方式确保如期完成义务教育阶段学业。</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50" w:lineRule="exact"/>
        <w:ind w:firstLine="640" w:firstLineChars="200"/>
        <w:jc w:val="both"/>
        <w:textAlignment w:val="auto"/>
        <w:rPr>
          <w:rFonts w:ascii="仿宋_GB2312" w:hAnsi="仿宋_GB2312" w:eastAsia="仿宋_GB2312" w:cs="仿宋_GB2312"/>
          <w:color w:val="auto"/>
          <w:kern w:val="0"/>
          <w:sz w:val="32"/>
          <w:szCs w:val="32"/>
        </w:rPr>
      </w:pPr>
      <w:r>
        <w:rPr>
          <w:rFonts w:hint="eastAsia" w:ascii="Times New Roman" w:hAnsi="Times New Roman" w:eastAsia="楷体_GB2312" w:cs="楷体_GB2312"/>
          <w:b/>
          <w:bCs/>
          <w:color w:val="auto"/>
          <w:kern w:val="2"/>
          <w:sz w:val="32"/>
          <w:szCs w:val="32"/>
          <w:lang w:val="en-US" w:eastAsia="zh-CN"/>
        </w:rPr>
        <w:t>3</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kern w:val="2"/>
          <w:sz w:val="32"/>
          <w:szCs w:val="32"/>
        </w:rPr>
        <w:t>优抚对象子女入学</w:t>
      </w:r>
      <w:r>
        <w:rPr>
          <w:rFonts w:hint="eastAsia" w:ascii="楷体_GB2312" w:hAnsi="楷体_GB2312" w:eastAsia="楷体_GB2312" w:cs="楷体_GB2312"/>
          <w:b/>
          <w:bCs/>
          <w:color w:val="auto"/>
          <w:kern w:val="2"/>
          <w:sz w:val="32"/>
          <w:szCs w:val="32"/>
          <w:lang w:eastAsia="zh-CN"/>
        </w:rPr>
        <w:t>。</w:t>
      </w:r>
      <w:r>
        <w:rPr>
          <w:rFonts w:hint="eastAsia" w:ascii="仿宋_GB2312" w:hAnsi="仿宋_GB2312" w:eastAsia="仿宋_GB2312" w:cs="仿宋_GB2312"/>
          <w:color w:val="auto"/>
          <w:kern w:val="0"/>
          <w:sz w:val="32"/>
          <w:szCs w:val="32"/>
        </w:rPr>
        <w:t>①符合优待政策的军人子女（含现役军人子女、烈士子女、因公牺牲和病故军人的子女）按《长沙市军人子女教育优待实施细则》（政联〔</w:t>
      </w:r>
      <w:r>
        <w:rPr>
          <w:rFonts w:hint="eastAsia" w:ascii="Times New Roman" w:hAnsi="Times New Roman" w:eastAsia="仿宋_GB2312" w:cs="仿宋_GB2312"/>
          <w:color w:val="auto"/>
          <w:kern w:val="0"/>
          <w:sz w:val="32"/>
          <w:szCs w:val="32"/>
        </w:rPr>
        <w:t>2021</w:t>
      </w:r>
      <w:r>
        <w:rPr>
          <w:rFonts w:hint="eastAsia" w:ascii="仿宋_GB2312" w:hAnsi="仿宋_GB2312" w:eastAsia="仿宋_GB2312" w:cs="仿宋_GB2312"/>
          <w:color w:val="auto"/>
          <w:kern w:val="0"/>
          <w:sz w:val="32"/>
          <w:szCs w:val="32"/>
        </w:rPr>
        <w:t>〕</w:t>
      </w:r>
      <w:r>
        <w:rPr>
          <w:rFonts w:hint="eastAsia" w:ascii="Times New Roman" w:hAnsi="Times New Roman" w:eastAsia="仿宋_GB2312" w:cs="仿宋_GB2312"/>
          <w:color w:val="auto"/>
          <w:kern w:val="0"/>
          <w:sz w:val="32"/>
          <w:szCs w:val="32"/>
        </w:rPr>
        <w:t>1</w:t>
      </w:r>
      <w:r>
        <w:rPr>
          <w:rFonts w:hint="eastAsia" w:ascii="仿宋_GB2312" w:hAnsi="仿宋_GB2312" w:eastAsia="仿宋_GB2312" w:cs="仿宋_GB2312"/>
          <w:color w:val="auto"/>
          <w:kern w:val="0"/>
          <w:sz w:val="32"/>
          <w:szCs w:val="32"/>
        </w:rPr>
        <w:t>号）执行</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②高层次人才子女按照《中共长沙市委长沙市人民政府关于印发</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长沙市建设创新创业人才高地的若干措施</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的通知》（长发〔</w:t>
      </w:r>
      <w:r>
        <w:rPr>
          <w:rFonts w:hint="eastAsia" w:ascii="Times New Roman" w:hAnsi="Times New Roman" w:eastAsia="仿宋_GB2312" w:cs="仿宋_GB2312"/>
          <w:color w:val="auto"/>
          <w:kern w:val="0"/>
          <w:sz w:val="32"/>
          <w:szCs w:val="32"/>
        </w:rPr>
        <w:t>2017</w:t>
      </w:r>
      <w:r>
        <w:rPr>
          <w:rFonts w:hint="eastAsia" w:ascii="仿宋_GB2312" w:hAnsi="仿宋_GB2312" w:eastAsia="仿宋_GB2312" w:cs="仿宋_GB2312"/>
          <w:color w:val="auto"/>
          <w:kern w:val="0"/>
          <w:sz w:val="32"/>
          <w:szCs w:val="32"/>
        </w:rPr>
        <w:t>〕</w:t>
      </w:r>
      <w:r>
        <w:rPr>
          <w:rFonts w:hint="eastAsia" w:ascii="Times New Roman" w:hAnsi="Times New Roman" w:eastAsia="仿宋_GB2312" w:cs="仿宋_GB2312"/>
          <w:color w:val="auto"/>
          <w:kern w:val="0"/>
          <w:sz w:val="32"/>
          <w:szCs w:val="32"/>
        </w:rPr>
        <w:t>10</w:t>
      </w:r>
      <w:r>
        <w:rPr>
          <w:rFonts w:hint="eastAsia" w:ascii="仿宋_GB2312" w:hAnsi="仿宋_GB2312" w:eastAsia="仿宋_GB2312" w:cs="仿宋_GB2312"/>
          <w:color w:val="auto"/>
          <w:kern w:val="0"/>
          <w:sz w:val="32"/>
          <w:szCs w:val="32"/>
        </w:rPr>
        <w:t>号）</w:t>
      </w:r>
      <w:r>
        <w:rPr>
          <w:rFonts w:hint="eastAsia" w:ascii="仿宋_GB2312" w:hAnsi="仿宋_GB2312" w:eastAsia="仿宋_GB2312" w:cs="仿宋_GB2312"/>
          <w:color w:val="auto"/>
          <w:kern w:val="0"/>
          <w:sz w:val="32"/>
          <w:szCs w:val="32"/>
          <w:lang w:eastAsia="zh-CN"/>
        </w:rPr>
        <w:t>和《关于印发〈长沙市争创国家吸引集聚人才平台若干政策（试行）〉的通知》（长发〔</w:t>
      </w:r>
      <w:r>
        <w:rPr>
          <w:rFonts w:hint="eastAsia" w:ascii="Times New Roman" w:hAnsi="Times New Roman" w:eastAsia="仿宋_GB2312" w:cs="仿宋_GB2312"/>
          <w:color w:val="auto"/>
          <w:kern w:val="0"/>
          <w:sz w:val="32"/>
          <w:szCs w:val="32"/>
          <w:lang w:eastAsia="zh-CN"/>
        </w:rPr>
        <w:t>2022</w:t>
      </w:r>
      <w:r>
        <w:rPr>
          <w:rFonts w:hint="eastAsia" w:ascii="仿宋_GB2312" w:hAnsi="仿宋_GB2312" w:eastAsia="仿宋_GB2312" w:cs="仿宋_GB2312"/>
          <w:color w:val="auto"/>
          <w:kern w:val="0"/>
          <w:sz w:val="32"/>
          <w:szCs w:val="32"/>
          <w:lang w:eastAsia="zh-CN"/>
        </w:rPr>
        <w:t>〕</w:t>
      </w:r>
      <w:r>
        <w:rPr>
          <w:rFonts w:hint="eastAsia" w:ascii="Times New Roman" w:hAnsi="Times New Roman" w:eastAsia="仿宋_GB2312" w:cs="仿宋_GB2312"/>
          <w:color w:val="auto"/>
          <w:kern w:val="0"/>
          <w:sz w:val="32"/>
          <w:szCs w:val="32"/>
          <w:lang w:eastAsia="zh-CN"/>
        </w:rPr>
        <w:t>12</w:t>
      </w:r>
      <w:r>
        <w:rPr>
          <w:rFonts w:hint="eastAsia" w:ascii="仿宋_GB2312" w:hAnsi="仿宋_GB2312" w:eastAsia="仿宋_GB2312" w:cs="仿宋_GB2312"/>
          <w:color w:val="auto"/>
          <w:kern w:val="0"/>
          <w:sz w:val="32"/>
          <w:szCs w:val="32"/>
          <w:lang w:eastAsia="zh-CN"/>
        </w:rPr>
        <w:t>号）执行；</w:t>
      </w:r>
      <w:r>
        <w:rPr>
          <w:rFonts w:hint="eastAsia" w:ascii="仿宋_GB2312" w:hAnsi="仿宋_GB2312" w:eastAsia="仿宋_GB2312" w:cs="仿宋_GB2312"/>
          <w:color w:val="auto"/>
          <w:kern w:val="0"/>
          <w:sz w:val="32"/>
          <w:szCs w:val="32"/>
        </w:rPr>
        <w:t>③长沙人才绿卡持有人子女按《长沙人才绿卡管理服务办法（试行）》（长人才发〔</w:t>
      </w:r>
      <w:r>
        <w:rPr>
          <w:rFonts w:hint="eastAsia" w:ascii="Times New Roman" w:hAnsi="Times New Roman" w:eastAsia="仿宋_GB2312" w:cs="仿宋_GB2312"/>
          <w:color w:val="auto"/>
          <w:kern w:val="0"/>
          <w:sz w:val="32"/>
          <w:szCs w:val="32"/>
        </w:rPr>
        <w:t>2017</w:t>
      </w:r>
      <w:r>
        <w:rPr>
          <w:rFonts w:hint="eastAsia" w:ascii="仿宋_GB2312" w:hAnsi="仿宋_GB2312" w:eastAsia="仿宋_GB2312" w:cs="仿宋_GB2312"/>
          <w:color w:val="auto"/>
          <w:kern w:val="0"/>
          <w:sz w:val="32"/>
          <w:szCs w:val="32"/>
        </w:rPr>
        <w:t>〕</w:t>
      </w:r>
      <w:r>
        <w:rPr>
          <w:rFonts w:hint="eastAsia" w:ascii="Times New Roman" w:hAnsi="Times New Roman" w:eastAsia="仿宋_GB2312" w:cs="仿宋_GB2312"/>
          <w:color w:val="auto"/>
          <w:kern w:val="0"/>
          <w:sz w:val="32"/>
          <w:szCs w:val="32"/>
        </w:rPr>
        <w:t>8</w:t>
      </w:r>
      <w:r>
        <w:rPr>
          <w:rFonts w:hint="eastAsia" w:ascii="仿宋_GB2312" w:hAnsi="仿宋_GB2312" w:eastAsia="仿宋_GB2312" w:cs="仿宋_GB2312"/>
          <w:color w:val="auto"/>
          <w:kern w:val="0"/>
          <w:sz w:val="32"/>
          <w:szCs w:val="32"/>
        </w:rPr>
        <w:t>号）执行</w:t>
      </w:r>
      <w:r>
        <w:rPr>
          <w:rFonts w:hint="eastAsia" w:ascii="仿宋_GB2312" w:hAnsi="仿宋_GB2312" w:eastAsia="仿宋_GB2312" w:cs="仿宋_GB2312"/>
          <w:color w:val="auto"/>
          <w:kern w:val="0"/>
          <w:sz w:val="32"/>
          <w:szCs w:val="32"/>
          <w:lang w:eastAsia="zh-CN"/>
        </w:rPr>
        <w:t>；④宁乡引进</w:t>
      </w:r>
      <w:r>
        <w:rPr>
          <w:rFonts w:hint="eastAsia" w:ascii="仿宋_GB2312" w:hAnsi="仿宋_GB2312" w:eastAsia="仿宋_GB2312" w:cs="仿宋_GB2312"/>
          <w:color w:val="auto"/>
          <w:kern w:val="0"/>
          <w:sz w:val="32"/>
          <w:szCs w:val="32"/>
        </w:rPr>
        <w:t>人</w:t>
      </w:r>
      <w:r>
        <w:rPr>
          <w:rFonts w:hint="eastAsia" w:ascii="仿宋_GB2312" w:hAnsi="仿宋_GB2312" w:eastAsia="仿宋_GB2312" w:cs="仿宋_GB2312"/>
          <w:color w:val="auto"/>
          <w:kern w:val="0"/>
          <w:sz w:val="32"/>
          <w:szCs w:val="32"/>
          <w:lang w:eastAsia="zh-CN"/>
        </w:rPr>
        <w:t>才</w:t>
      </w:r>
      <w:r>
        <w:rPr>
          <w:rFonts w:hint="eastAsia" w:ascii="仿宋_GB2312" w:hAnsi="仿宋_GB2312" w:eastAsia="仿宋_GB2312" w:cs="仿宋_GB2312"/>
          <w:color w:val="auto"/>
          <w:kern w:val="0"/>
          <w:sz w:val="32"/>
          <w:szCs w:val="32"/>
        </w:rPr>
        <w:t>子女入学按《宁乡市</w:t>
      </w:r>
      <w:r>
        <w:rPr>
          <w:rFonts w:hint="eastAsia" w:ascii="仿宋_GB2312" w:hAnsi="仿宋_GB2312" w:eastAsia="仿宋_GB2312" w:cs="仿宋_GB2312"/>
          <w:color w:val="auto"/>
          <w:kern w:val="0"/>
          <w:sz w:val="32"/>
          <w:szCs w:val="32"/>
          <w:lang w:eastAsia="zh-CN"/>
        </w:rPr>
        <w:t>实施</w:t>
      </w:r>
      <w:r>
        <w:rPr>
          <w:rFonts w:hint="eastAsia" w:ascii="仿宋_GB2312" w:hAnsi="仿宋_GB2312" w:eastAsia="仿宋_GB2312" w:cs="仿宋_GB2312"/>
          <w:color w:val="auto"/>
          <w:kern w:val="0"/>
          <w:sz w:val="32"/>
          <w:szCs w:val="32"/>
        </w:rPr>
        <w:t>人才</w:t>
      </w:r>
      <w:r>
        <w:rPr>
          <w:rFonts w:hint="eastAsia" w:ascii="仿宋_GB2312" w:hAnsi="仿宋_GB2312" w:eastAsia="仿宋_GB2312" w:cs="仿宋_GB2312"/>
          <w:color w:val="auto"/>
          <w:kern w:val="0"/>
          <w:sz w:val="32"/>
          <w:szCs w:val="32"/>
          <w:lang w:eastAsia="zh-CN"/>
        </w:rPr>
        <w:t>强市战略推进高质量发展三十条措施</w:t>
      </w:r>
      <w:r>
        <w:rPr>
          <w:rFonts w:hint="eastAsia" w:ascii="仿宋_GB2312" w:hAnsi="仿宋_GB2312" w:eastAsia="仿宋_GB2312" w:cs="仿宋_GB2312"/>
          <w:color w:val="auto"/>
          <w:kern w:val="0"/>
          <w:sz w:val="32"/>
          <w:szCs w:val="32"/>
        </w:rPr>
        <w:t>（试行）》</w:t>
      </w:r>
      <w:r>
        <w:rPr>
          <w:rFonts w:hint="eastAsia" w:ascii="仿宋_GB2312" w:hAnsi="仿宋_GB2312" w:eastAsia="仿宋_GB2312" w:cs="仿宋_GB2312"/>
          <w:color w:val="auto"/>
          <w:kern w:val="0"/>
          <w:sz w:val="32"/>
          <w:szCs w:val="32"/>
          <w:lang w:eastAsia="zh-CN"/>
        </w:rPr>
        <w:t>（宁人发</w:t>
      </w:r>
      <w:r>
        <w:rPr>
          <w:rFonts w:hint="eastAsia" w:ascii="仿宋_GB2312" w:hAnsi="仿宋_GB2312" w:eastAsia="仿宋_GB2312" w:cs="仿宋_GB2312"/>
          <w:color w:val="auto"/>
          <w:kern w:val="0"/>
          <w:sz w:val="32"/>
          <w:szCs w:val="32"/>
        </w:rPr>
        <w:t>〔</w:t>
      </w:r>
      <w:r>
        <w:rPr>
          <w:rFonts w:hint="eastAsia" w:ascii="Times New Roman" w:hAnsi="Times New Roman" w:eastAsia="仿宋_GB2312" w:cs="仿宋_GB2312"/>
          <w:color w:val="auto"/>
          <w:kern w:val="0"/>
          <w:sz w:val="32"/>
          <w:szCs w:val="32"/>
        </w:rPr>
        <w:t>20</w:t>
      </w:r>
      <w:r>
        <w:rPr>
          <w:rFonts w:hint="eastAsia" w:ascii="Times New Roman" w:hAnsi="Times New Roman" w:eastAsia="仿宋_GB2312" w:cs="仿宋_GB2312"/>
          <w:color w:val="auto"/>
          <w:kern w:val="0"/>
          <w:sz w:val="32"/>
          <w:szCs w:val="32"/>
          <w:lang w:val="en-US" w:eastAsia="zh-CN"/>
        </w:rPr>
        <w:t>23</w:t>
      </w:r>
      <w:r>
        <w:rPr>
          <w:rFonts w:hint="eastAsia" w:ascii="仿宋_GB2312" w:hAnsi="仿宋_GB2312" w:eastAsia="仿宋_GB2312" w:cs="仿宋_GB2312"/>
          <w:color w:val="auto"/>
          <w:kern w:val="0"/>
          <w:sz w:val="32"/>
          <w:szCs w:val="32"/>
        </w:rPr>
        <w:t>〕</w:t>
      </w:r>
      <w:r>
        <w:rPr>
          <w:rFonts w:hint="eastAsia" w:ascii="Times New Roman" w:hAnsi="Times New Roman"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号</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执行</w:t>
      </w:r>
      <w:r>
        <w:rPr>
          <w:rFonts w:hint="eastAsia" w:ascii="仿宋_GB2312" w:hAnsi="仿宋_GB2312" w:eastAsia="仿宋_GB2312" w:cs="仿宋_GB2312"/>
          <w:color w:val="auto"/>
          <w:kern w:val="0"/>
          <w:sz w:val="32"/>
          <w:szCs w:val="32"/>
          <w:lang w:eastAsia="zh-CN"/>
        </w:rPr>
        <w:t>；⑤</w:t>
      </w:r>
      <w:r>
        <w:rPr>
          <w:rFonts w:hint="eastAsia" w:ascii="仿宋_GB2312" w:hAnsi="仿宋_GB2312" w:eastAsia="仿宋_GB2312" w:cs="仿宋_GB2312"/>
          <w:color w:val="auto"/>
          <w:kern w:val="0"/>
          <w:sz w:val="32"/>
          <w:szCs w:val="32"/>
          <w:lang w:val="en-US" w:eastAsia="zh-CN"/>
        </w:rPr>
        <w:t>城区（园区）</w:t>
      </w:r>
      <w:r>
        <w:rPr>
          <w:rFonts w:hint="eastAsia" w:ascii="仿宋_GB2312" w:hAnsi="仿宋_GB2312" w:eastAsia="仿宋_GB2312" w:cs="仿宋_GB2312"/>
          <w:color w:val="auto"/>
          <w:kern w:val="0"/>
          <w:sz w:val="32"/>
          <w:szCs w:val="32"/>
        </w:rPr>
        <w:t>棚户区改造及基础设施建设项目的被征收人自货币补偿协议签订之日起</w:t>
      </w:r>
      <w:r>
        <w:rPr>
          <w:rFonts w:hint="eastAsia" w:ascii="Times New Roman" w:hAnsi="Times New Roman"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年内，被征收人子女可凭征拆办备案的征收货币补偿协议，自愿选择在原被征收房屋的学区或新居住地的学区入学</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⑥</w:t>
      </w:r>
      <w:r>
        <w:rPr>
          <w:rFonts w:ascii="仿宋_GB2312" w:hAnsi="宋体" w:eastAsia="仿宋_GB2312" w:cs="仿宋_GB2312"/>
          <w:color w:val="auto"/>
          <w:kern w:val="0"/>
          <w:sz w:val="31"/>
          <w:szCs w:val="31"/>
          <w:lang w:val="en-US" w:eastAsia="zh-CN" w:bidi="ar"/>
        </w:rPr>
        <w:t>双盲</w:t>
      </w:r>
      <w:r>
        <w:rPr>
          <w:rFonts w:hint="eastAsia" w:ascii="仿宋_GB2312" w:hAnsi="宋体" w:eastAsia="仿宋_GB2312" w:cs="仿宋_GB2312"/>
          <w:color w:val="auto"/>
          <w:kern w:val="0"/>
          <w:sz w:val="31"/>
          <w:szCs w:val="31"/>
          <w:lang w:val="en-US" w:eastAsia="zh-CN" w:bidi="ar"/>
        </w:rPr>
        <w:t>户</w:t>
      </w:r>
      <w:r>
        <w:rPr>
          <w:rFonts w:ascii="仿宋_GB2312" w:hAnsi="宋体" w:eastAsia="仿宋_GB2312" w:cs="仿宋_GB2312"/>
          <w:color w:val="auto"/>
          <w:kern w:val="0"/>
          <w:sz w:val="31"/>
          <w:szCs w:val="31"/>
          <w:lang w:val="en-US" w:eastAsia="zh-CN" w:bidi="ar"/>
        </w:rPr>
        <w:t>子女根据家庭住房实行</w:t>
      </w:r>
      <w:r>
        <w:rPr>
          <w:rFonts w:hint="eastAsia" w:ascii="仿宋_GB2312" w:hAnsi="宋体" w:eastAsia="仿宋_GB2312" w:cs="仿宋_GB2312"/>
          <w:color w:val="auto"/>
          <w:kern w:val="0"/>
          <w:sz w:val="31"/>
          <w:szCs w:val="31"/>
          <w:lang w:val="en-US" w:eastAsia="zh-CN" w:bidi="ar"/>
        </w:rPr>
        <w:t>就近照顾安排入学。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50" w:lineRule="exact"/>
        <w:ind w:firstLine="640" w:firstLineChars="200"/>
        <w:jc w:val="both"/>
        <w:textAlignment w:val="auto"/>
        <w:rPr>
          <w:rFonts w:ascii="楷体_GB2312" w:hAnsi="楷体_GB2312" w:eastAsia="楷体_GB2312" w:cs="楷体_GB2312"/>
          <w:b/>
          <w:bCs/>
          <w:color w:val="auto"/>
          <w:kern w:val="2"/>
          <w:sz w:val="32"/>
          <w:szCs w:val="32"/>
        </w:rPr>
      </w:pPr>
      <w:r>
        <w:rPr>
          <w:rFonts w:hint="eastAsia" w:ascii="Times New Roman" w:hAnsi="Times New Roman" w:eastAsia="楷体_GB2312" w:cs="楷体_GB2312"/>
          <w:b/>
          <w:bCs/>
          <w:color w:val="auto"/>
          <w:kern w:val="2"/>
          <w:sz w:val="32"/>
          <w:szCs w:val="32"/>
          <w:lang w:val="en-US" w:eastAsia="zh-CN"/>
        </w:rPr>
        <w:t>4</w:t>
      </w:r>
      <w:r>
        <w:rPr>
          <w:rFonts w:hint="eastAsia" w:ascii="楷体_GB2312" w:hAnsi="楷体_GB2312" w:eastAsia="楷体_GB2312" w:cs="楷体_GB2312"/>
          <w:b/>
          <w:bCs/>
          <w:color w:val="auto"/>
          <w:sz w:val="32"/>
          <w:szCs w:val="32"/>
          <w:lang w:val="en-US" w:eastAsia="zh-CN"/>
        </w:rPr>
        <w:t>．</w:t>
      </w:r>
      <w:r>
        <w:rPr>
          <w:rFonts w:hint="eastAsia" w:ascii="楷体_GB2312" w:hAnsi="楷体_GB2312" w:eastAsia="楷体_GB2312" w:cs="楷体_GB2312"/>
          <w:b/>
          <w:bCs/>
          <w:color w:val="auto"/>
          <w:kern w:val="2"/>
          <w:sz w:val="32"/>
          <w:szCs w:val="32"/>
        </w:rPr>
        <w:t>兄（姐）弟（妹）可同一学校入学</w:t>
      </w:r>
      <w:r>
        <w:rPr>
          <w:rFonts w:hint="eastAsia" w:ascii="楷体_GB2312" w:hAnsi="楷体_GB2312" w:eastAsia="楷体_GB2312" w:cs="楷体_GB2312"/>
          <w:b/>
          <w:bCs/>
          <w:color w:val="auto"/>
          <w:kern w:val="2"/>
          <w:sz w:val="32"/>
          <w:szCs w:val="32"/>
          <w:lang w:eastAsia="zh-CN"/>
        </w:rPr>
        <w:t>。</w:t>
      </w:r>
      <w:r>
        <w:rPr>
          <w:rFonts w:hint="eastAsia" w:ascii="仿宋_GB2312" w:hAnsi="仿宋_GB2312" w:eastAsia="仿宋_GB2312" w:cs="仿宋_GB2312"/>
          <w:color w:val="auto"/>
          <w:sz w:val="32"/>
          <w:szCs w:val="32"/>
        </w:rPr>
        <w:t>因为城市发展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学区调整，</w:t>
      </w:r>
      <w:r>
        <w:rPr>
          <w:rFonts w:hint="eastAsia" w:ascii="仿宋_GB2312" w:hAnsi="仿宋_GB2312" w:eastAsia="仿宋_GB2312" w:cs="仿宋_GB2312"/>
          <w:color w:val="auto"/>
          <w:sz w:val="32"/>
          <w:szCs w:val="32"/>
          <w:lang w:eastAsia="zh-CN"/>
        </w:rPr>
        <w:t>而</w:t>
      </w:r>
      <w:r>
        <w:rPr>
          <w:rFonts w:hint="eastAsia" w:ascii="仿宋_GB2312" w:hAnsi="仿宋_GB2312" w:eastAsia="仿宋_GB2312" w:cs="仿宋_GB2312"/>
          <w:color w:val="auto"/>
          <w:sz w:val="32"/>
          <w:szCs w:val="32"/>
        </w:rPr>
        <w:t>导致兄（姐）</w:t>
      </w:r>
      <w:r>
        <w:rPr>
          <w:rFonts w:hint="eastAsia" w:ascii="仿宋_GB2312" w:hAnsi="仿宋_GB2312" w:eastAsia="仿宋_GB2312" w:cs="仿宋_GB2312"/>
          <w:color w:val="auto"/>
          <w:sz w:val="32"/>
          <w:szCs w:val="32"/>
          <w:lang w:val="en-US" w:eastAsia="zh-CN"/>
        </w:rPr>
        <w:t>弟（妹）划分到了不同学校的，</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兄（姐）就读学校学位</w:t>
      </w:r>
      <w:r>
        <w:rPr>
          <w:rFonts w:hint="eastAsia" w:ascii="仿宋_GB2312" w:hAnsi="仿宋_GB2312" w:eastAsia="仿宋_GB2312" w:cs="仿宋_GB2312"/>
          <w:color w:val="auto"/>
          <w:sz w:val="32"/>
          <w:szCs w:val="32"/>
          <w:lang w:eastAsia="zh-CN"/>
        </w:rPr>
        <w:t>允许的前提下，</w:t>
      </w:r>
      <w:r>
        <w:rPr>
          <w:rFonts w:hint="eastAsia" w:ascii="仿宋_GB2312" w:hAnsi="仿宋_GB2312" w:eastAsia="仿宋_GB2312" w:cs="仿宋_GB2312"/>
          <w:color w:val="auto"/>
          <w:sz w:val="32"/>
          <w:szCs w:val="32"/>
        </w:rPr>
        <w:t>弟（妹）可</w:t>
      </w:r>
      <w:r>
        <w:rPr>
          <w:rFonts w:hint="eastAsia" w:ascii="仿宋_GB2312" w:hAnsi="仿宋_GB2312" w:eastAsia="仿宋_GB2312" w:cs="仿宋_GB2312"/>
          <w:color w:val="auto"/>
          <w:sz w:val="32"/>
          <w:szCs w:val="32"/>
          <w:lang w:eastAsia="zh-CN"/>
        </w:rPr>
        <w:t>申请</w:t>
      </w:r>
      <w:r>
        <w:rPr>
          <w:rFonts w:hint="eastAsia" w:ascii="仿宋_GB2312" w:hAnsi="仿宋_GB2312" w:eastAsia="仿宋_GB2312" w:cs="仿宋_GB2312"/>
          <w:color w:val="auto"/>
          <w:sz w:val="32"/>
          <w:szCs w:val="32"/>
        </w:rPr>
        <w:t>在同一学校入学。</w:t>
      </w:r>
    </w:p>
    <w:p>
      <w:pPr>
        <w:spacing w:line="520" w:lineRule="exact"/>
        <w:ind w:firstLine="105" w:firstLineChars="50"/>
        <w:rPr>
          <w:color w:val="auto"/>
        </w:rPr>
      </w:pPr>
    </w:p>
    <w:sectPr>
      <w:headerReference r:id="rId3" w:type="default"/>
      <w:footerReference r:id="rId4" w:type="default"/>
      <w:pgSz w:w="11906" w:h="16838"/>
      <w:pgMar w:top="2098" w:right="1531" w:bottom="1984" w:left="1531" w:header="851" w:footer="1587" w:gutter="0"/>
      <w:cols w:space="0" w:num="1"/>
      <w:rtlGutter w:val="0"/>
      <w:docGrid w:type="linesAndChars" w:linePitch="312" w:charSpace="2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Style w:val="10"/>
                              <w:sz w:val="28"/>
                              <w:szCs w:val="28"/>
                            </w:rPr>
                          </w:pPr>
                          <w:r>
                            <w:rPr>
                              <w:rFonts w:hint="eastAsia"/>
                              <w:sz w:val="28"/>
                              <w:szCs w:val="28"/>
                            </w:rPr>
                            <w:t xml:space="preserve">— </w:t>
                          </w: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18</w:t>
                          </w:r>
                          <w:r>
                            <w:rPr>
                              <w:sz w:val="28"/>
                              <w:szCs w:val="28"/>
                            </w:rPr>
                            <w:fldChar w:fldCharType="end"/>
                          </w:r>
                          <w:r>
                            <w:rPr>
                              <w:rFonts w:hint="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06/Tc4BAACnAwAADgAAAGRycy9lMm9Eb2MueG1srVPNjtMwEL4j8Q6W&#10;7zRppUV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CtOv03OAQAApwMAAA4AAAAAAAAAAQAgAAAAHgEAAGRycy9l&#10;Mm9Eb2MueG1sUEsFBgAAAAAGAAYAWQEAAF4FAAAAAA==&#10;">
              <v:fill on="f" focussize="0,0"/>
              <v:stroke on="f"/>
              <v:imagedata o:title=""/>
              <o:lock v:ext="edit" aspectratio="f"/>
              <v:textbox inset="0mm,0mm,0mm,0mm" style="mso-fit-shape-to-text:t;">
                <w:txbxContent>
                  <w:p>
                    <w:pPr>
                      <w:pStyle w:val="4"/>
                      <w:rPr>
                        <w:rStyle w:val="10"/>
                        <w:sz w:val="28"/>
                        <w:szCs w:val="28"/>
                      </w:rPr>
                    </w:pPr>
                    <w:r>
                      <w:rPr>
                        <w:rFonts w:hint="eastAsia"/>
                        <w:sz w:val="28"/>
                        <w:szCs w:val="28"/>
                      </w:rPr>
                      <w:t xml:space="preserve">— </w:t>
                    </w: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18</w:t>
                    </w:r>
                    <w:r>
                      <w:rPr>
                        <w:sz w:val="28"/>
                        <w:szCs w:val="28"/>
                      </w:rPr>
                      <w:fldChar w:fldCharType="end"/>
                    </w:r>
                    <w:r>
                      <w:rPr>
                        <w:rFonts w:hint="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NDAzYTkyMDdjNmRjZDA4MDEyYjgzMmUxZTA5OTMifQ=="/>
  </w:docVars>
  <w:rsids>
    <w:rsidRoot w:val="59C23B10"/>
    <w:rsid w:val="01396E1E"/>
    <w:rsid w:val="01A84217"/>
    <w:rsid w:val="03E312C3"/>
    <w:rsid w:val="04B9724B"/>
    <w:rsid w:val="06BB3EB7"/>
    <w:rsid w:val="08B86305"/>
    <w:rsid w:val="09546010"/>
    <w:rsid w:val="0EA3787E"/>
    <w:rsid w:val="0EFC279B"/>
    <w:rsid w:val="0F446138"/>
    <w:rsid w:val="0FA062BA"/>
    <w:rsid w:val="103A3DF7"/>
    <w:rsid w:val="10400ECC"/>
    <w:rsid w:val="11274ED6"/>
    <w:rsid w:val="11346BBC"/>
    <w:rsid w:val="12F9640D"/>
    <w:rsid w:val="136165E9"/>
    <w:rsid w:val="13741B6F"/>
    <w:rsid w:val="13CD4BFB"/>
    <w:rsid w:val="13F64CC9"/>
    <w:rsid w:val="158E4258"/>
    <w:rsid w:val="16513DF6"/>
    <w:rsid w:val="17103863"/>
    <w:rsid w:val="19F96750"/>
    <w:rsid w:val="1AD86A2F"/>
    <w:rsid w:val="1DA406CD"/>
    <w:rsid w:val="216363F3"/>
    <w:rsid w:val="21675511"/>
    <w:rsid w:val="21795A5A"/>
    <w:rsid w:val="21A57AC0"/>
    <w:rsid w:val="220033CE"/>
    <w:rsid w:val="23E97DD8"/>
    <w:rsid w:val="252B275B"/>
    <w:rsid w:val="25403C2F"/>
    <w:rsid w:val="255E4015"/>
    <w:rsid w:val="258249C6"/>
    <w:rsid w:val="27767BD4"/>
    <w:rsid w:val="27BA2134"/>
    <w:rsid w:val="2C150744"/>
    <w:rsid w:val="307A7860"/>
    <w:rsid w:val="31F42769"/>
    <w:rsid w:val="330E6BC7"/>
    <w:rsid w:val="33154745"/>
    <w:rsid w:val="35FE41C7"/>
    <w:rsid w:val="37422135"/>
    <w:rsid w:val="37B86C7B"/>
    <w:rsid w:val="37C0661E"/>
    <w:rsid w:val="381E5E4A"/>
    <w:rsid w:val="38463F61"/>
    <w:rsid w:val="38C40A07"/>
    <w:rsid w:val="39557F91"/>
    <w:rsid w:val="39FB487E"/>
    <w:rsid w:val="3AAB658A"/>
    <w:rsid w:val="3ADA6C48"/>
    <w:rsid w:val="3AF17180"/>
    <w:rsid w:val="3D457133"/>
    <w:rsid w:val="3EBF5C57"/>
    <w:rsid w:val="3F5972AF"/>
    <w:rsid w:val="401D732F"/>
    <w:rsid w:val="424A22AF"/>
    <w:rsid w:val="42876CE2"/>
    <w:rsid w:val="42911B9D"/>
    <w:rsid w:val="42A41642"/>
    <w:rsid w:val="42FB1EE8"/>
    <w:rsid w:val="4308026C"/>
    <w:rsid w:val="435E6CB1"/>
    <w:rsid w:val="4389521C"/>
    <w:rsid w:val="44BA0EC0"/>
    <w:rsid w:val="450C34A3"/>
    <w:rsid w:val="46A2233C"/>
    <w:rsid w:val="476D15F2"/>
    <w:rsid w:val="484D5A49"/>
    <w:rsid w:val="48AE05C3"/>
    <w:rsid w:val="4A6D70A1"/>
    <w:rsid w:val="4C1201B0"/>
    <w:rsid w:val="4C7622A1"/>
    <w:rsid w:val="4DD85A06"/>
    <w:rsid w:val="4EE74F7B"/>
    <w:rsid w:val="4F9F49E4"/>
    <w:rsid w:val="500B145F"/>
    <w:rsid w:val="51AD440F"/>
    <w:rsid w:val="545D102F"/>
    <w:rsid w:val="54E40417"/>
    <w:rsid w:val="55121E51"/>
    <w:rsid w:val="55CB6554"/>
    <w:rsid w:val="59C23B10"/>
    <w:rsid w:val="5AE62161"/>
    <w:rsid w:val="5B5A3FF2"/>
    <w:rsid w:val="5B673DB6"/>
    <w:rsid w:val="5B9E579C"/>
    <w:rsid w:val="5BB72F4E"/>
    <w:rsid w:val="6018737E"/>
    <w:rsid w:val="60BB4810"/>
    <w:rsid w:val="63304B00"/>
    <w:rsid w:val="63B00118"/>
    <w:rsid w:val="64457BFE"/>
    <w:rsid w:val="644A6117"/>
    <w:rsid w:val="65032DF9"/>
    <w:rsid w:val="6884144A"/>
    <w:rsid w:val="6AF74944"/>
    <w:rsid w:val="6BB56EF2"/>
    <w:rsid w:val="6C8F3D82"/>
    <w:rsid w:val="6D376740"/>
    <w:rsid w:val="6E1E7D37"/>
    <w:rsid w:val="6E6C0849"/>
    <w:rsid w:val="6F887A72"/>
    <w:rsid w:val="71902C0D"/>
    <w:rsid w:val="731A1328"/>
    <w:rsid w:val="73561B58"/>
    <w:rsid w:val="73724D0D"/>
    <w:rsid w:val="73BF39AA"/>
    <w:rsid w:val="74373B8F"/>
    <w:rsid w:val="74FC2BFE"/>
    <w:rsid w:val="753B6AE8"/>
    <w:rsid w:val="75E02E70"/>
    <w:rsid w:val="763D095C"/>
    <w:rsid w:val="7B3F5B4E"/>
    <w:rsid w:val="7DD00DC4"/>
    <w:rsid w:val="7E4C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autoSpaceDE w:val="0"/>
      <w:autoSpaceDN w:val="0"/>
      <w:adjustRightInd w:val="0"/>
      <w:spacing w:line="600" w:lineRule="exact"/>
      <w:ind w:firstLine="720" w:firstLineChars="200"/>
      <w:outlineLvl w:val="1"/>
    </w:pPr>
    <w:rPr>
      <w:rFonts w:ascii="Courier New" w:hAnsi="Courier New" w:eastAsia="楷体_GB2312"/>
      <w:b/>
      <w:color w:val="000000"/>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Title"/>
    <w:basedOn w:val="1"/>
    <w:next w:val="1"/>
    <w:qFormat/>
    <w:uiPriority w:val="0"/>
    <w:pPr>
      <w:spacing w:before="240" w:after="60"/>
      <w:jc w:val="center"/>
      <w:outlineLvl w:val="0"/>
    </w:pPr>
    <w:rPr>
      <w:rFonts w:ascii="Cambria" w:hAnsi="Cambria"/>
      <w:b/>
      <w:bCs/>
      <w:sz w:val="32"/>
      <w:szCs w:val="32"/>
    </w:rPr>
  </w:style>
  <w:style w:type="character" w:styleId="10">
    <w:name w:val="page number"/>
    <w:basedOn w:val="9"/>
    <w:qFormat/>
    <w:uiPriority w:val="0"/>
  </w:style>
  <w:style w:type="paragraph" w:customStyle="1" w:styleId="11">
    <w:name w:val="样式 文字 + 首行缩进:  2 字符3"/>
    <w:basedOn w:val="1"/>
    <w:qFormat/>
    <w:uiPriority w:val="0"/>
    <w:pPr>
      <w:spacing w:line="360" w:lineRule="auto"/>
      <w:jc w:val="left"/>
    </w:pPr>
    <w:rPr>
      <w:sz w:val="28"/>
      <w:szCs w:val="28"/>
    </w:rPr>
  </w:style>
  <w:style w:type="paragraph" w:styleId="12">
    <w:name w:val="List Paragraph"/>
    <w:basedOn w:val="1"/>
    <w:qFormat/>
    <w:uiPriority w:val="34"/>
    <w:pPr>
      <w:ind w:firstLine="420" w:firstLineChars="200"/>
    </w:pPr>
  </w:style>
  <w:style w:type="character" w:customStyle="1" w:styleId="13">
    <w:name w:val="font21"/>
    <w:basedOn w:val="9"/>
    <w:qFormat/>
    <w:uiPriority w:val="0"/>
    <w:rPr>
      <w:rFonts w:hint="eastAsia" w:ascii="宋体" w:hAnsi="宋体" w:eastAsia="宋体" w:cs="宋体"/>
      <w:color w:val="000000"/>
      <w:sz w:val="20"/>
      <w:szCs w:val="20"/>
      <w:u w:val="none"/>
    </w:rPr>
  </w:style>
  <w:style w:type="character" w:customStyle="1" w:styleId="14">
    <w:name w:val="font51"/>
    <w:basedOn w:val="9"/>
    <w:qFormat/>
    <w:uiPriority w:val="0"/>
    <w:rPr>
      <w:rFonts w:hint="eastAsia" w:ascii="宋体" w:hAnsi="宋体" w:eastAsia="宋体" w:cs="宋体"/>
      <w:b/>
      <w:bCs/>
      <w:color w:val="000000"/>
      <w:sz w:val="20"/>
      <w:szCs w:val="20"/>
      <w:u w:val="none"/>
    </w:rPr>
  </w:style>
  <w:style w:type="paragraph" w:customStyle="1" w:styleId="15">
    <w:name w:val="pa-5"/>
    <w:basedOn w:val="1"/>
    <w:qFormat/>
    <w:uiPriority w:val="0"/>
    <w:pPr>
      <w:widowControl/>
      <w:spacing w:line="360" w:lineRule="atLeast"/>
      <w:ind w:firstLine="480"/>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8</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2024-04-20T03:20:00Z</dcterms:created>
  <dc:creator>和同</dc:creator>
  <cp:lastModifiedBy>Administrator</cp:lastModifiedBy>
  <cp:lastPrinted>2024-05-16T03:46:00Z</cp:lastPrinted>
  <dcterms:modified xsi:type="dcterms:W3CDTF">2024-05-21T03:24:46Z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51B8C54070C341EA9982787AD304A4D5_13</vt:lpwstr>
  </property>
</Properties>
</file>