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hint="eastAsia" w:ascii="方正大标宋简体" w:hAnsi="华文中宋" w:eastAsia="方正大标宋简体" w:cs="华文中宋"/>
          <w:color w:val="auto"/>
          <w:kern w:val="0"/>
          <w:sz w:val="44"/>
          <w:szCs w:val="44"/>
          <w:lang w:val="en-US" w:eastAsia="zh-CN"/>
        </w:rPr>
      </w:pPr>
      <w:r>
        <w:rPr>
          <w:rFonts w:hint="eastAsia" w:ascii="方正大标宋简体" w:hAnsi="华文中宋" w:eastAsia="方正大标宋简体" w:cs="华文中宋"/>
          <w:color w:val="auto"/>
          <w:kern w:val="0"/>
          <w:sz w:val="44"/>
          <w:szCs w:val="44"/>
        </w:rPr>
        <w:t>宁乡市城区</w:t>
      </w:r>
      <w:r>
        <w:rPr>
          <w:rFonts w:hint="eastAsia" w:ascii="方正大标宋简体" w:hAnsi="华文中宋" w:eastAsia="方正大标宋简体" w:cs="华文中宋"/>
          <w:color w:val="auto"/>
          <w:kern w:val="0"/>
          <w:sz w:val="44"/>
          <w:szCs w:val="44"/>
          <w:lang w:eastAsia="zh-CN"/>
        </w:rPr>
        <w:t>（</w:t>
      </w:r>
      <w:r>
        <w:rPr>
          <w:rFonts w:hint="eastAsia" w:ascii="方正大标宋简体" w:hAnsi="华文中宋" w:eastAsia="方正大标宋简体" w:cs="华文中宋"/>
          <w:color w:val="auto"/>
          <w:kern w:val="0"/>
          <w:sz w:val="44"/>
          <w:szCs w:val="44"/>
          <w:lang w:val="en-US" w:eastAsia="zh-CN"/>
        </w:rPr>
        <w:t>园区</w:t>
      </w:r>
      <w:r>
        <w:rPr>
          <w:rFonts w:hint="eastAsia" w:ascii="方正大标宋简体" w:hAnsi="华文中宋" w:eastAsia="方正大标宋简体" w:cs="华文中宋"/>
          <w:color w:val="auto"/>
          <w:kern w:val="0"/>
          <w:sz w:val="44"/>
          <w:szCs w:val="44"/>
          <w:lang w:eastAsia="zh-CN"/>
        </w:rPr>
        <w:t>）</w:t>
      </w:r>
      <w:r>
        <w:rPr>
          <w:rFonts w:hint="eastAsia" w:ascii="Times New Roman" w:hAnsi="Times New Roman" w:eastAsia="方正大标宋简体" w:cs="华文中宋"/>
          <w:color w:val="auto"/>
          <w:kern w:val="0"/>
          <w:sz w:val="44"/>
          <w:szCs w:val="44"/>
          <w:lang w:eastAsia="zh-CN"/>
        </w:rPr>
        <w:t>2025</w:t>
      </w:r>
      <w:r>
        <w:rPr>
          <w:rFonts w:hint="eastAsia" w:ascii="方正大标宋简体" w:hAnsi="华文中宋" w:eastAsia="方正大标宋简体" w:cs="华文中宋"/>
          <w:color w:val="auto"/>
          <w:kern w:val="0"/>
          <w:sz w:val="44"/>
          <w:szCs w:val="44"/>
        </w:rPr>
        <w:t>年秋季公办初中招生</w:t>
      </w:r>
      <w:r>
        <w:rPr>
          <w:rFonts w:hint="eastAsia" w:ascii="方正大标宋简体" w:hAnsi="华文中宋" w:eastAsia="方正大标宋简体" w:cs="华文中宋"/>
          <w:color w:val="auto"/>
          <w:kern w:val="0"/>
          <w:sz w:val="44"/>
          <w:szCs w:val="44"/>
          <w:lang w:eastAsia="zh-CN"/>
        </w:rPr>
        <w:t>范围</w:t>
      </w:r>
      <w:bookmarkStart w:id="0" w:name="_GoBack"/>
      <w:bookmarkEnd w:id="0"/>
    </w:p>
    <w:p>
      <w:pPr>
        <w:pStyle w:val="10"/>
        <w:rPr>
          <w:color w:val="auto"/>
        </w:rPr>
      </w:pPr>
    </w:p>
    <w:tbl>
      <w:tblPr>
        <w:tblStyle w:val="7"/>
        <w:tblW w:w="1400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87"/>
        <w:gridCol w:w="1296"/>
        <w:gridCol w:w="699"/>
        <w:gridCol w:w="735"/>
        <w:gridCol w:w="2588"/>
        <w:gridCol w:w="76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  <w:tblHeader/>
          <w:jc w:val="center"/>
        </w:trPr>
        <w:tc>
          <w:tcPr>
            <w:tcW w:w="98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黑体" w:hAnsi="黑体" w:eastAsia="黑体" w:cs="黑体"/>
                <w:color w:val="auto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Cs w:val="21"/>
              </w:rPr>
              <w:t>街道</w:t>
            </w:r>
          </w:p>
        </w:tc>
        <w:tc>
          <w:tcPr>
            <w:tcW w:w="1296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黑体" w:hAnsi="黑体" w:eastAsia="黑体" w:cs="黑体"/>
                <w:color w:val="auto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Cs w:val="21"/>
              </w:rPr>
              <w:t>学校名称</w:t>
            </w:r>
          </w:p>
        </w:tc>
        <w:tc>
          <w:tcPr>
            <w:tcW w:w="69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黑体" w:hAnsi="黑体" w:eastAsia="黑体" w:cs="黑体"/>
                <w:color w:val="auto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Cs w:val="21"/>
              </w:rPr>
              <w:t>招收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ascii="黑体" w:hAnsi="黑体" w:eastAsia="黑体" w:cs="黑体"/>
                <w:color w:val="auto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Cs w:val="21"/>
              </w:rPr>
              <w:t>班数</w:t>
            </w:r>
          </w:p>
        </w:tc>
        <w:tc>
          <w:tcPr>
            <w:tcW w:w="73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黑体" w:hAnsi="黑体" w:eastAsia="黑体" w:cs="黑体"/>
                <w:color w:val="auto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Cs w:val="21"/>
              </w:rPr>
              <w:t>招生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ascii="黑体" w:hAnsi="黑体" w:eastAsia="黑体" w:cs="黑体"/>
                <w:color w:val="auto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Cs w:val="21"/>
              </w:rPr>
              <w:t>计划</w:t>
            </w:r>
          </w:p>
        </w:tc>
        <w:tc>
          <w:tcPr>
            <w:tcW w:w="25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黑体" w:hAnsi="黑体" w:eastAsia="黑体" w:cs="黑体"/>
                <w:color w:val="auto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Cs w:val="21"/>
              </w:rPr>
              <w:t>招生区域</w:t>
            </w:r>
          </w:p>
        </w:tc>
        <w:tc>
          <w:tcPr>
            <w:tcW w:w="7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黑体" w:hAnsi="黑体" w:eastAsia="黑体" w:cs="黑体"/>
                <w:color w:val="auto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Cs w:val="21"/>
              </w:rPr>
              <w:t>服务楼盘、主要板块及对象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5" w:hRule="atLeast"/>
          <w:jc w:val="center"/>
        </w:trPr>
        <w:tc>
          <w:tcPr>
            <w:tcW w:w="98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玉潭</w:t>
            </w:r>
          </w:p>
        </w:tc>
        <w:tc>
          <w:tcPr>
            <w:tcW w:w="1296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Cs w:val="21"/>
              </w:rPr>
              <w:t>梅花</w:t>
            </w:r>
          </w:p>
          <w:p>
            <w:pPr>
              <w:widowControl/>
              <w:adjustRightInd w:val="0"/>
              <w:spacing w:line="260" w:lineRule="exact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bCs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Cs w:val="21"/>
                <w:lang w:eastAsia="zh-CN"/>
              </w:rPr>
              <w:t>中学</w:t>
            </w:r>
          </w:p>
        </w:tc>
        <w:tc>
          <w:tcPr>
            <w:tcW w:w="69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Theme="minorEastAsia" w:hAnsiTheme="minorEastAsia" w:cstheme="minorEastAsia"/>
                <w:bCs/>
                <w:color w:val="auto"/>
                <w:kern w:val="0"/>
                <w:szCs w:val="21"/>
                <w:lang w:val="en-US"/>
              </w:rPr>
            </w:pPr>
            <w:r>
              <w:rPr>
                <w:rFonts w:hint="eastAsia" w:ascii="Times New Roman" w:hAnsi="Times New Roman" w:cstheme="minorEastAsia"/>
                <w:bCs/>
                <w:color w:val="auto"/>
                <w:kern w:val="0"/>
                <w:szCs w:val="21"/>
                <w:lang w:val="en-US" w:eastAsia="zh-CN"/>
              </w:rPr>
              <w:t>15</w:t>
            </w:r>
          </w:p>
        </w:tc>
        <w:tc>
          <w:tcPr>
            <w:tcW w:w="73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bCs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cstheme="minorEastAsia"/>
                <w:bCs/>
                <w:color w:val="auto"/>
                <w:kern w:val="0"/>
                <w:szCs w:val="21"/>
                <w:lang w:val="en-US" w:eastAsia="zh-CN"/>
              </w:rPr>
              <w:t>750</w:t>
            </w:r>
          </w:p>
        </w:tc>
        <w:tc>
          <w:tcPr>
            <w:tcW w:w="25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pacing w:line="260" w:lineRule="exact"/>
              <w:jc w:val="left"/>
              <w:textAlignment w:val="center"/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/>
                <w:color w:val="auto"/>
              </w:rPr>
              <w:t>花明路以东－－二环路以南的玉潭区域</w:t>
            </w:r>
            <w:r>
              <w:rPr>
                <w:rFonts w:hint="eastAsia"/>
                <w:color w:val="auto"/>
                <w:lang w:eastAsia="zh-CN"/>
              </w:rPr>
              <w:t>。</w:t>
            </w:r>
          </w:p>
          <w:p>
            <w:pPr>
              <w:widowControl/>
              <w:adjustRightInd w:val="0"/>
              <w:spacing w:line="260" w:lineRule="exact"/>
              <w:jc w:val="left"/>
              <w:textAlignment w:val="center"/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一环路以南——宁乡大道以东城郊街道区域和经开区区域与明德蓝月谷学校、南雅蓝月谷学校、实验中学四校选择。</w:t>
            </w:r>
          </w:p>
          <w:p>
            <w:pPr>
              <w:widowControl/>
              <w:adjustRightInd w:val="0"/>
              <w:spacing w:line="260" w:lineRule="exact"/>
              <w:jc w:val="left"/>
              <w:textAlignment w:val="center"/>
              <w:rPr>
                <w:rFonts w:asciiTheme="minorEastAsia" w:hAnsiTheme="minorEastAsia" w:cstheme="minorEastAsia"/>
                <w:bCs/>
                <w:color w:val="auto"/>
                <w:kern w:val="0"/>
                <w:szCs w:val="21"/>
              </w:rPr>
            </w:pPr>
          </w:p>
        </w:tc>
        <w:tc>
          <w:tcPr>
            <w:tcW w:w="7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pacing w:line="260" w:lineRule="exact"/>
              <w:jc w:val="left"/>
              <w:textAlignment w:val="center"/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/>
                <w:color w:val="auto"/>
              </w:rPr>
              <w:t>滨江新外滩、龙溪路小区、牌楼巷、昱盛东方明珠、香江国际、龙头湾购物中心、大玺门、滨江都市明珠、飞凤名流、大玺门安置区、人民路九号公寓、金满地地下商业街、御景名城、水晶郦城、中源凝香华都、体育广场、文化超市、香山巷、行政二办</w:t>
            </w:r>
            <w:r>
              <w:rPr>
                <w:rFonts w:hint="eastAsia"/>
                <w:color w:val="auto"/>
                <w:lang w:eastAsia="zh-CN"/>
              </w:rPr>
              <w:t>宿舍区</w:t>
            </w:r>
            <w:r>
              <w:rPr>
                <w:rFonts w:hint="eastAsia"/>
                <w:color w:val="auto"/>
              </w:rPr>
              <w:t>、步行街、朝阳商贸城、玉溪广场、玉金花园、金海花园、花明家园、华禹商贸城、振兴路、花明南路、玉潭路、堆子塘、城防巷、沩丰家园、玉园巷、大润发、天祺</w:t>
            </w:r>
            <w:r>
              <w:rPr>
                <w:color w:val="auto"/>
              </w:rPr>
              <w:t>·</w:t>
            </w:r>
            <w:r>
              <w:rPr>
                <w:rFonts w:hint="eastAsia"/>
                <w:color w:val="auto"/>
              </w:rPr>
              <w:t>佰潮汇商业中心、海博星河绿洲、沙河新城、南郊安置区、建材市场、金盆开发区、八一东路、日新巷、高家巷、楚沩中路、金园公寓、东益巷、水晶城、聂家巷、北门商住楼、仓岭上、得胜路、梅花路、文化路、宁兴路小西门、铜钱巷（玉潭区域）、文书路</w:t>
            </w:r>
            <w:r>
              <w:rPr>
                <w:rFonts w:hint="eastAsia"/>
                <w:color w:val="auto"/>
                <w:lang w:eastAsia="zh-CN"/>
              </w:rPr>
              <w:t>、金南三组、金南十一组。</w:t>
            </w:r>
          </w:p>
          <w:p>
            <w:pPr>
              <w:rPr>
                <w:rFonts w:asciiTheme="minorEastAsia" w:hAnsiTheme="minorEastAsia" w:cstheme="minorEastAsia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新宇佳园、梅家田公租房、颐和源、水木天成、朝庭、银海花园、梅兰景园、江岸华庭、滨江国</w:t>
            </w:r>
            <w:r>
              <w:rPr>
                <w:rFonts w:hint="eastAsia"/>
                <w:color w:val="auto"/>
                <w:lang w:val="en-US" w:eastAsia="zh-CN"/>
              </w:rPr>
              <w:t>际城、锦绣兰亭、新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力钰龙湾、金凤花园、城市东家、东鑫花园、优雅翠园、五街国际、楚沩佳郡、纸业园安置区、原氮肥厂安置小区、润和家园、沩丰安置区、富贵世家、假日摩纳哥、中伟悦宁府、未来方舟、江南小区、龙华山庄、美信府台、尚峰尚水、润城里、美的城、福源小区、润城里、华夏安置区、香樟美地、怡宁雅苑、蓝色港湾、青旅金洲湖、长房宁都、美的国宾府、旺宁新村、裕源国际、怡宁新村、经远安置小区、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eastAsia="zh-CN"/>
              </w:rPr>
              <w:t>罗宦安置区、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eastAsia="zh-CN"/>
              </w:rPr>
              <w:t>嘉乐馨园、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eastAsia="zh-CN"/>
              </w:rPr>
              <w:t>站前路商业街小区、站前路自建房、金亭生活小区、沩水大桥安置区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与明德蓝月谷学校、南雅蓝月谷学校、实验中学四校选择。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9" w:hRule="atLeast"/>
          <w:jc w:val="center"/>
        </w:trPr>
        <w:tc>
          <w:tcPr>
            <w:tcW w:w="987" w:type="dxa"/>
            <w:vMerge w:val="restar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玉潭</w:t>
            </w:r>
          </w:p>
        </w:tc>
        <w:tc>
          <w:tcPr>
            <w:tcW w:w="1296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pacing w:line="260" w:lineRule="exact"/>
              <w:jc w:val="center"/>
              <w:textAlignment w:val="center"/>
              <w:rPr>
                <w:rFonts w:ascii="宋体" w:hAnsi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Cs w:val="21"/>
              </w:rPr>
              <w:t>城北</w:t>
            </w:r>
          </w:p>
          <w:p>
            <w:pPr>
              <w:widowControl/>
              <w:adjustRightInd w:val="0"/>
              <w:spacing w:line="260" w:lineRule="exact"/>
              <w:jc w:val="center"/>
              <w:textAlignment w:val="center"/>
              <w:rPr>
                <w:rFonts w:asciiTheme="minorEastAsia" w:hAnsiTheme="minorEastAsia" w:cstheme="minorEastAsia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Cs w:val="21"/>
              </w:rPr>
              <w:t>中学</w:t>
            </w:r>
          </w:p>
        </w:tc>
        <w:tc>
          <w:tcPr>
            <w:tcW w:w="69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bCs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cstheme="minorEastAsia"/>
                <w:bCs/>
                <w:color w:val="auto"/>
                <w:kern w:val="0"/>
                <w:szCs w:val="21"/>
              </w:rPr>
              <w:t>1</w:t>
            </w:r>
            <w:r>
              <w:rPr>
                <w:rFonts w:hint="eastAsia" w:ascii="Times New Roman" w:hAnsi="Times New Roman" w:cstheme="minorEastAsia"/>
                <w:bCs/>
                <w:color w:val="auto"/>
                <w:kern w:val="0"/>
                <w:szCs w:val="21"/>
                <w:lang w:val="en-US" w:eastAsia="zh-CN"/>
              </w:rPr>
              <w:t>8</w:t>
            </w:r>
          </w:p>
        </w:tc>
        <w:tc>
          <w:tcPr>
            <w:tcW w:w="73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bCs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cstheme="minorEastAsia"/>
                <w:bCs/>
                <w:color w:val="auto"/>
                <w:kern w:val="0"/>
                <w:szCs w:val="21"/>
                <w:lang w:val="en-US" w:eastAsia="zh-CN"/>
              </w:rPr>
              <w:t>900</w:t>
            </w:r>
          </w:p>
        </w:tc>
        <w:tc>
          <w:tcPr>
            <w:tcW w:w="25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pacing w:line="260" w:lineRule="exact"/>
              <w:jc w:val="left"/>
              <w:textAlignment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金州大道－－康宁路－－兆基商业街－－二环路以北的玉潭区域。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color w:val="auto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春城北路以东招生区域与紫金中学双校选择。</w:t>
            </w:r>
          </w:p>
        </w:tc>
        <w:tc>
          <w:tcPr>
            <w:tcW w:w="7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pacing w:line="260" w:lineRule="exact"/>
              <w:jc w:val="left"/>
              <w:textAlignment w:val="center"/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Cs w:val="21"/>
              </w:rPr>
              <w:t>新城大市场、汪家冲</w:t>
            </w:r>
            <w:r>
              <w:rPr>
                <w:rFonts w:hint="eastAsia" w:ascii="宋体" w:hAnsi="宋体" w:cs="宋体"/>
                <w:bCs/>
                <w:color w:val="auto"/>
                <w:kern w:val="0"/>
                <w:szCs w:val="21"/>
                <w:lang w:eastAsia="zh-CN"/>
              </w:rPr>
              <w:t>、</w:t>
            </w:r>
            <w:r>
              <w:rPr>
                <w:rFonts w:hint="eastAsia" w:ascii="宋体" w:hAnsi="宋体" w:cs="宋体"/>
                <w:bCs/>
                <w:color w:val="auto"/>
                <w:kern w:val="0"/>
                <w:szCs w:val="21"/>
              </w:rPr>
              <w:t>玉兴府（原名罗马假日）、金色湖畔（原名金色夏威夷）、中建亮月湖、亮月湖澜苑、长房宁城府、中南物流园、湘中南建材城、和美华庭、世纪花园、一品江山、愿景一号院、铂金汉宫、百宜华府、玉虹蓝庭国际城、兆基御园、中梁首府、长宁旺角、福临门名都、智城商业广场西苑、玉潭汽车城、湖畔美苑、</w:t>
            </w:r>
            <w:r>
              <w:rPr>
                <w:rFonts w:ascii="宋体" w:hAnsi="宋体" w:cs="宋体"/>
                <w:bCs/>
                <w:color w:val="auto"/>
                <w:kern w:val="0"/>
                <w:szCs w:val="21"/>
              </w:rPr>
              <w:t>兆基·璟宸府</w:t>
            </w:r>
            <w:r>
              <w:rPr>
                <w:rFonts w:hint="eastAsia" w:ascii="宋体" w:hAnsi="宋体" w:cs="宋体"/>
                <w:bCs/>
                <w:color w:val="auto"/>
                <w:kern w:val="0"/>
                <w:szCs w:val="21"/>
              </w:rPr>
              <w:t>、园林</w:t>
            </w:r>
            <w:r>
              <w:rPr>
                <w:rFonts w:hint="eastAsia" w:ascii="宋体" w:hAnsi="宋体" w:cs="宋体"/>
                <w:bCs/>
                <w:color w:val="auto"/>
                <w:kern w:val="0"/>
                <w:szCs w:val="21"/>
                <w:lang w:eastAsia="zh-CN"/>
              </w:rPr>
              <w:t>新</w:t>
            </w:r>
            <w:r>
              <w:rPr>
                <w:rFonts w:hint="eastAsia" w:ascii="宋体" w:hAnsi="宋体" w:cs="宋体"/>
                <w:bCs/>
                <w:color w:val="auto"/>
                <w:kern w:val="0"/>
                <w:szCs w:val="21"/>
              </w:rPr>
              <w:t>苑</w:t>
            </w:r>
            <w:r>
              <w:rPr>
                <w:rFonts w:hint="eastAsia" w:ascii="宋体" w:hAnsi="宋体" w:cs="宋体"/>
                <w:bCs/>
                <w:color w:val="auto"/>
                <w:kern w:val="0"/>
                <w:szCs w:val="21"/>
                <w:lang w:eastAsia="zh-CN"/>
              </w:rPr>
              <w:t>、恒雅紫台、茆田安置区、星恒国仕汇。</w:t>
            </w:r>
          </w:p>
          <w:p>
            <w:pPr>
              <w:widowControl/>
              <w:adjustRightInd w:val="0"/>
              <w:spacing w:line="260" w:lineRule="exact"/>
              <w:jc w:val="left"/>
              <w:textAlignment w:val="center"/>
              <w:rPr>
                <w:rFonts w:asciiTheme="minorEastAsia" w:hAnsiTheme="minorEastAsia" w:cstheme="minorEastAsia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Cs w:val="21"/>
                <w:lang w:eastAsia="zh-CN"/>
              </w:rPr>
              <w:t>花语半山、</w:t>
            </w:r>
            <w:r>
              <w:rPr>
                <w:rFonts w:hint="eastAsia" w:ascii="宋体" w:hAnsi="宋体" w:cs="宋体"/>
                <w:bCs/>
                <w:color w:val="auto"/>
                <w:kern w:val="0"/>
                <w:szCs w:val="21"/>
              </w:rPr>
              <w:t>旺和家园、学府花园、碧桂园</w:t>
            </w:r>
            <w:r>
              <w:rPr>
                <w:rFonts w:ascii="宋体" w:hAnsi="宋体" w:cs="宋体"/>
                <w:bCs/>
                <w:color w:val="auto"/>
                <w:kern w:val="0"/>
                <w:szCs w:val="21"/>
              </w:rPr>
              <w:t>·</w:t>
            </w:r>
            <w:r>
              <w:rPr>
                <w:rFonts w:hint="eastAsia" w:ascii="宋体" w:hAnsi="宋体" w:cs="宋体"/>
                <w:bCs/>
                <w:color w:val="auto"/>
                <w:kern w:val="0"/>
                <w:szCs w:val="21"/>
              </w:rPr>
              <w:t>天悦、锦绣华庭、地税小区、幸福里、富春山居</w:t>
            </w:r>
            <w:r>
              <w:rPr>
                <w:rFonts w:hint="eastAsia" w:ascii="宋体" w:hAnsi="宋体" w:cs="宋体"/>
                <w:bCs/>
                <w:color w:val="auto"/>
                <w:kern w:val="0"/>
                <w:szCs w:val="21"/>
                <w:lang w:val="en-US" w:eastAsia="zh-CN"/>
              </w:rPr>
              <w:t>与紫金中学双校选择。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7" w:hRule="atLeast"/>
          <w:jc w:val="center"/>
        </w:trPr>
        <w:tc>
          <w:tcPr>
            <w:tcW w:w="987" w:type="dxa"/>
            <w:vMerge w:val="continue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96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Cs w:val="21"/>
              </w:rPr>
              <w:t>春城</w:t>
            </w:r>
          </w:p>
          <w:p>
            <w:pPr>
              <w:widowControl/>
              <w:adjustRightInd w:val="0"/>
              <w:spacing w:line="260" w:lineRule="exact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bCs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Cs w:val="21"/>
                <w:lang w:eastAsia="zh-CN"/>
              </w:rPr>
              <w:t>中学</w:t>
            </w:r>
          </w:p>
        </w:tc>
        <w:tc>
          <w:tcPr>
            <w:tcW w:w="69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Theme="minorEastAsia" w:cstheme="minorEastAsia"/>
                <w:bCs/>
                <w:color w:val="auto"/>
                <w:kern w:val="0"/>
                <w:szCs w:val="21"/>
              </w:rPr>
              <w:t>1</w:t>
            </w:r>
            <w:r>
              <w:rPr>
                <w:rFonts w:hint="eastAsia" w:ascii="Times New Roman" w:hAnsi="Times New Roman" w:eastAsiaTheme="minorEastAsia" w:cstheme="minorEastAsia"/>
                <w:bCs/>
                <w:color w:val="auto"/>
                <w:kern w:val="0"/>
                <w:szCs w:val="21"/>
                <w:lang w:val="en-US" w:eastAsia="zh-CN"/>
              </w:rPr>
              <w:t>4</w:t>
            </w:r>
          </w:p>
        </w:tc>
        <w:tc>
          <w:tcPr>
            <w:tcW w:w="73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eastAsiaTheme="minorEastAsia" w:cstheme="minorEastAsia"/>
                <w:bCs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Theme="minorEastAsia" w:cstheme="minorEastAsia"/>
                <w:bCs/>
                <w:color w:val="auto"/>
                <w:kern w:val="0"/>
                <w:szCs w:val="21"/>
                <w:lang w:val="en-US" w:eastAsia="zh-CN"/>
              </w:rPr>
              <w:t>7</w:t>
            </w:r>
            <w:r>
              <w:rPr>
                <w:rFonts w:hint="eastAsia" w:ascii="Times New Roman" w:hAnsi="Times New Roman" w:eastAsiaTheme="minorEastAsia" w:cstheme="minorEastAsia"/>
                <w:bCs/>
                <w:color w:val="auto"/>
                <w:kern w:val="0"/>
                <w:szCs w:val="21"/>
              </w:rPr>
              <w:t>00</w:t>
            </w:r>
          </w:p>
        </w:tc>
        <w:tc>
          <w:tcPr>
            <w:tcW w:w="25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pacing w:line="260" w:lineRule="exact"/>
              <w:jc w:val="left"/>
              <w:textAlignment w:val="center"/>
              <w:rPr>
                <w:rFonts w:asciiTheme="minorEastAsia" w:hAnsiTheme="minorEastAsia" w:eastAsiaTheme="minorEastAsia" w:cstheme="minorEastAsia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Cs w:val="21"/>
              </w:rPr>
              <w:t>二环路至兆基商业街以南</w:t>
            </w:r>
            <w:r>
              <w:rPr>
                <w:rFonts w:hint="eastAsia"/>
                <w:color w:val="auto"/>
              </w:rPr>
              <w:t>－－</w:t>
            </w:r>
            <w:r>
              <w:rPr>
                <w:rFonts w:hint="eastAsia" w:ascii="宋体" w:hAnsi="宋体" w:cs="宋体"/>
                <w:bCs/>
                <w:color w:val="auto"/>
                <w:kern w:val="0"/>
                <w:szCs w:val="21"/>
              </w:rPr>
              <w:t>春城路以西之间区域。</w:t>
            </w:r>
          </w:p>
        </w:tc>
        <w:tc>
          <w:tcPr>
            <w:tcW w:w="7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pacing w:line="260" w:lineRule="exact"/>
              <w:ind w:left="105" w:leftChars="50"/>
              <w:jc w:val="left"/>
              <w:textAlignment w:val="center"/>
              <w:rPr>
                <w:rFonts w:hint="eastAsia" w:eastAsia="宋体" w:asciiTheme="minorEastAsia" w:hAnsiTheme="minorEastAsia" w:cstheme="minorEastAsia"/>
                <w:bCs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Cs w:val="21"/>
              </w:rPr>
              <w:t>金桂园、同兴花园、湘核华府、世纪阳光、花明锦园、连城郡、启殿园、中水一品、书香里、春城万象广场、财富广场、翡翠花城（原名维也纳花城）、华都丽景、春城佳苑、兆基君城、翡翠年华、翡翠世家、翡翠湖、和德家园、碧桂园月湖湾、豪德市场、玉兴广场、美域中央、钓鱼台九号、碧桂园时代城、九龙华府、格林春天、钢材市场、华星西路、家具城、庙坡路、杉木塘巷、新山安置区、长塘路、兴园巷、湘核汇金府、翡翠园、丽豪公馆、朝阳巷、玉兴安置区、先锋组、新康安置区、兆山安置区、豪德壹公馆、塘湾安置区、摩托汽配大市场</w:t>
            </w:r>
            <w:r>
              <w:rPr>
                <w:rFonts w:hint="eastAsia" w:ascii="宋体" w:hAnsi="宋体" w:cs="宋体"/>
                <w:bCs/>
                <w:color w:val="auto"/>
                <w:kern w:val="0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8" w:hRule="atLeast"/>
          <w:jc w:val="center"/>
        </w:trPr>
        <w:tc>
          <w:tcPr>
            <w:tcW w:w="987" w:type="dxa"/>
            <w:vMerge w:val="continue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96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pacing w:line="260" w:lineRule="exact"/>
              <w:jc w:val="center"/>
              <w:textAlignment w:val="center"/>
              <w:rPr>
                <w:rFonts w:ascii="宋体" w:hAnsi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Cs w:val="21"/>
              </w:rPr>
              <w:t>紫金</w:t>
            </w:r>
          </w:p>
          <w:p>
            <w:pPr>
              <w:widowControl/>
              <w:adjustRightInd w:val="0"/>
              <w:spacing w:line="260" w:lineRule="exact"/>
              <w:jc w:val="center"/>
              <w:textAlignment w:val="center"/>
              <w:rPr>
                <w:rFonts w:asciiTheme="minorEastAsia" w:hAnsiTheme="minorEastAsia" w:cstheme="minorEastAsia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Cs w:val="21"/>
              </w:rPr>
              <w:t>中学</w:t>
            </w:r>
          </w:p>
        </w:tc>
        <w:tc>
          <w:tcPr>
            <w:tcW w:w="69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Theme="minorEastAsia" w:hAnsiTheme="minorEastAsia" w:cstheme="minorEastAsia"/>
                <w:bCs/>
                <w:color w:val="auto"/>
                <w:kern w:val="0"/>
                <w:szCs w:val="21"/>
                <w:lang w:val="en-US"/>
              </w:rPr>
            </w:pPr>
            <w:r>
              <w:rPr>
                <w:rFonts w:hint="eastAsia" w:ascii="Times New Roman" w:hAnsi="Times New Roman" w:cstheme="minorEastAsia"/>
                <w:bCs/>
                <w:color w:val="auto"/>
                <w:kern w:val="0"/>
                <w:szCs w:val="21"/>
                <w:lang w:val="en-US" w:eastAsia="zh-CN"/>
              </w:rPr>
              <w:t>17</w:t>
            </w:r>
          </w:p>
        </w:tc>
        <w:tc>
          <w:tcPr>
            <w:tcW w:w="73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bCs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cstheme="minorEastAsia"/>
                <w:bCs/>
                <w:color w:val="auto"/>
                <w:kern w:val="0"/>
                <w:szCs w:val="21"/>
                <w:lang w:val="en-US" w:eastAsia="zh-CN"/>
              </w:rPr>
              <w:t>85</w:t>
            </w:r>
            <w:r>
              <w:rPr>
                <w:rFonts w:hint="eastAsia" w:ascii="Times New Roman" w:hAnsi="Times New Roman" w:cstheme="minorEastAsia"/>
                <w:bCs/>
                <w:color w:val="auto"/>
                <w:kern w:val="0"/>
                <w:szCs w:val="21"/>
              </w:rPr>
              <w:t>0</w:t>
            </w:r>
          </w:p>
        </w:tc>
        <w:tc>
          <w:tcPr>
            <w:tcW w:w="25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春城路以东</w:t>
            </w:r>
            <w:r>
              <w:rPr>
                <w:rFonts w:hint="eastAsia"/>
                <w:color w:val="auto"/>
              </w:rPr>
              <w:t>－－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二环路以南</w:t>
            </w:r>
            <w:r>
              <w:rPr>
                <w:rFonts w:hint="eastAsia"/>
                <w:color w:val="auto"/>
              </w:rPr>
              <w:t>－－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花明路以西之间的区域。</w:t>
            </w:r>
          </w:p>
          <w:p>
            <w:pPr>
              <w:widowControl/>
              <w:spacing w:line="260" w:lineRule="exact"/>
              <w:jc w:val="left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  <w:t>春城北路以东原城北中学招生区域与城北中学双校选择。</w:t>
            </w:r>
          </w:p>
        </w:tc>
        <w:tc>
          <w:tcPr>
            <w:tcW w:w="7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绿地中央花园、中央领御、财汇立方、盛翠豪庭、花语王朝、富豪山庄、钱隆公馆、九环紫荆城、春城明珠、紫金公馆、法官公寓、春城商业广场、御景云天、马家巷、接龙路、麻园坡路、龙溪西路、金园巷、花云巷、云山路、春园巷、枫树湾路、云园巷路、学前巷、老一中宿舍、湾箕塘、紫金佳苑、花明新区、林家湾、通益安置区、消防安置区、紫金路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  <w:t>。</w:t>
            </w:r>
          </w:p>
          <w:p>
            <w:pPr>
              <w:widowControl/>
              <w:spacing w:line="260" w:lineRule="exact"/>
              <w:jc w:val="left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Cs w:val="21"/>
                <w:lang w:eastAsia="zh-CN"/>
              </w:rPr>
              <w:t>花语半山、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旺和家园、学府花园、碧桂园·天悦、锦绣华庭、地税小区、幸福里、富春山居与城北中学双校选择。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6" w:hRule="atLeast"/>
          <w:jc w:val="center"/>
        </w:trPr>
        <w:tc>
          <w:tcPr>
            <w:tcW w:w="987" w:type="dxa"/>
            <w:vMerge w:val="restar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城郊</w:t>
            </w:r>
          </w:p>
        </w:tc>
        <w:tc>
          <w:tcPr>
            <w:tcW w:w="1296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i w:val="0"/>
                <w:iCs w:val="0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Cs w:val="21"/>
              </w:rPr>
              <w:t>明德蓝月谷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i w:val="0"/>
                <w:iCs w:val="0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Cs w:val="21"/>
              </w:rPr>
              <w:t>中学部</w:t>
            </w:r>
          </w:p>
        </w:tc>
        <w:tc>
          <w:tcPr>
            <w:tcW w:w="69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Cs w:val="21"/>
                <w:lang w:val="en-US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lang w:val="en-US" w:eastAsia="zh-CN"/>
              </w:rPr>
              <w:t>13</w:t>
            </w:r>
          </w:p>
        </w:tc>
        <w:tc>
          <w:tcPr>
            <w:tcW w:w="73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Cs w:val="21"/>
                <w:lang w:val="en-US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lang w:val="en-US" w:eastAsia="zh-CN"/>
              </w:rPr>
              <w:t>650</w:t>
            </w:r>
          </w:p>
        </w:tc>
        <w:tc>
          <w:tcPr>
            <w:tcW w:w="25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一环路以北——宁乡大道以西城郊街道区域。</w:t>
            </w:r>
          </w:p>
          <w:p>
            <w:pPr>
              <w:widowControl/>
              <w:adjustRightInd w:val="0"/>
              <w:spacing w:line="260" w:lineRule="exact"/>
              <w:jc w:val="left"/>
              <w:textAlignment w:val="center"/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一环路以南——宁乡大道以东城郊街道区域和经开区区域与梅花中学、南雅蓝月谷学校、实验中学四校选择。</w:t>
            </w:r>
          </w:p>
          <w:p>
            <w:pPr>
              <w:widowControl/>
              <w:spacing w:line="260" w:lineRule="exact"/>
              <w:jc w:val="left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7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  <w:t>山水华庭、新府名邸、瑞景春天、嘉城首府、龙湾一品、厚海玉龙、玉龙国际、翰林华府、神龙小区、嘉城花园、群力安置区、兴旺家园、美信华庭、东方现代城、金叶家园、时代和府、福临门名郡、和泰家园、奥园世家、金科美苑、敏捷紫云府、馨宁新村、石泉小区。</w:t>
            </w:r>
          </w:p>
          <w:p>
            <w:pPr>
              <w:rPr>
                <w:rFonts w:hint="default" w:ascii="宋体" w:hAnsi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新宇佳园、梅家田公租房、颐和源、水木天成、朝庭、银海花园、梅兰景园、江岸华庭、滨江国际城、</w:t>
            </w:r>
            <w:r>
              <w:rPr>
                <w:rFonts w:hint="eastAsia"/>
                <w:color w:val="auto"/>
                <w:lang w:val="en-US" w:eastAsia="zh-CN"/>
              </w:rPr>
              <w:t>锦绣兰亭、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新力钰龙湾、金凤花园、城市东家、东鑫花园、优雅翠园、五街国际、楚沩佳郡、纸业园安置区、原氮肥厂安置小区、润和家园、沩丰安置区、富贵世家、假日摩纳哥、中伟悦宁府、未来方舟、江南小区、龙华山庄、美信府台、尚峰尚水、润城里、美的城、福源小区、润城里、华夏安置区、香樟美地、怡宁雅苑、蓝色港湾、青旅金洲湖、长房宁都、美的国宾府、旺宁新村、裕源国际、怡宁新村、经远安置小区、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eastAsia="zh-CN"/>
              </w:rPr>
              <w:t>罗宦安置区、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eastAsia="zh-CN"/>
              </w:rPr>
              <w:t>嘉乐馨园、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eastAsia="zh-CN"/>
              </w:rPr>
              <w:t>站前路商业街小区、站前路自建房、金亭生活小区、沩水大桥安置区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与梅花中学、南雅蓝月谷学校、实验中学四校选择。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4" w:hRule="atLeast"/>
          <w:jc w:val="center"/>
        </w:trPr>
        <w:tc>
          <w:tcPr>
            <w:tcW w:w="987" w:type="dxa"/>
            <w:vMerge w:val="continue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296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i w:val="0"/>
                <w:iCs w:val="0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Cs w:val="21"/>
              </w:rPr>
              <w:t>南雅蓝月谷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i w:val="0"/>
                <w:iCs w:val="0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Cs w:val="21"/>
              </w:rPr>
              <w:t>中学部</w:t>
            </w:r>
          </w:p>
        </w:tc>
        <w:tc>
          <w:tcPr>
            <w:tcW w:w="69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lang w:val="en-US" w:eastAsia="zh-CN"/>
              </w:rPr>
              <w:t>7</w:t>
            </w:r>
          </w:p>
        </w:tc>
        <w:tc>
          <w:tcPr>
            <w:tcW w:w="73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i w:val="0"/>
                <w:iCs w:val="0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lang w:val="en-US" w:eastAsia="zh-CN"/>
              </w:rPr>
              <w:t>350</w:t>
            </w:r>
          </w:p>
        </w:tc>
        <w:tc>
          <w:tcPr>
            <w:tcW w:w="25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一环路以南——宁乡大道以东城郊街道区域和经开区区域。</w:t>
            </w:r>
          </w:p>
          <w:p>
            <w:pPr>
              <w:widowControl/>
              <w:spacing w:line="260" w:lineRule="exact"/>
              <w:jc w:val="left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lang w:val="en-US" w:eastAsia="zh-CN"/>
              </w:rPr>
              <w:t>与梅花中学、明德蓝月谷学校、实验中学四校选择。</w:t>
            </w:r>
          </w:p>
        </w:tc>
        <w:tc>
          <w:tcPr>
            <w:tcW w:w="7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新宇佳园、梅家田公租房、颐和源、水木天成、朝庭、银海花园、梅兰景园、江岸华庭、滨江国际城、</w:t>
            </w:r>
            <w:r>
              <w:rPr>
                <w:rFonts w:hint="eastAsia"/>
                <w:color w:val="auto"/>
                <w:lang w:val="en-US" w:eastAsia="zh-CN"/>
              </w:rPr>
              <w:t>锦绣兰亭、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新力钰龙湾、金凤花园、城市东家、东鑫花园、优雅翠园、五街国际、楚沩佳郡、纸业园安置区、原氮肥厂安置小区、润和家园、沩丰安置区、富贵世家、假日摩纳哥、中伟悦宁府、未来方舟、江南小区、龙华山庄、美信府台、尚峰尚水、润城里、美的城、福源小区、润城里、华夏安置区、香樟美地、怡宁雅苑、蓝色港湾、青旅金洲湖、长房宁都、美的国宾府、旺宁新村、裕源国际、怡宁新村、经远安置小区、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eastAsia="zh-CN"/>
              </w:rPr>
              <w:t>罗宦安置区、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eastAsia="zh-CN"/>
              </w:rPr>
              <w:t>嘉乐馨园、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eastAsia="zh-CN"/>
              </w:rPr>
              <w:t>站前路商业街小区、站前路自建房、金亭生活小区、沩水大桥安置区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与梅花中学、明德蓝月谷学校、实验中学四校选择。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0" w:hRule="atLeast"/>
          <w:jc w:val="center"/>
        </w:trPr>
        <w:tc>
          <w:tcPr>
            <w:tcW w:w="987" w:type="dxa"/>
            <w:vMerge w:val="restar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白马桥</w:t>
            </w:r>
          </w:p>
        </w:tc>
        <w:tc>
          <w:tcPr>
            <w:tcW w:w="1296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宁乡一中白马桥中学</w:t>
            </w:r>
          </w:p>
        </w:tc>
        <w:tc>
          <w:tcPr>
            <w:tcW w:w="69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lang w:val="en-US" w:eastAsia="zh-CN"/>
              </w:rPr>
              <w:t>16</w:t>
            </w:r>
          </w:p>
        </w:tc>
        <w:tc>
          <w:tcPr>
            <w:tcW w:w="73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lang w:val="en-US" w:eastAsia="zh-CN"/>
              </w:rPr>
              <w:t>800</w:t>
            </w:r>
          </w:p>
        </w:tc>
        <w:tc>
          <w:tcPr>
            <w:tcW w:w="25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白马大道以西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区域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eastAsia="zh-CN"/>
              </w:rPr>
              <w:t>。</w:t>
            </w:r>
          </w:p>
        </w:tc>
        <w:tc>
          <w:tcPr>
            <w:tcW w:w="7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白马大市场、馨香园、馨怡园、经典生活、南国水乡、财富金座、水木清华、凤形安置区、锦绣花城、黑金时代、和谐家园、星和湾、碧桂园天阔小区、龙泉美墅、教师新村、凤形花园、城南嘉园、御园一品、芙蓉盛景、公园道一号、楚湘汽车城、邮政宿舍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eastAsia="zh-CN"/>
              </w:rPr>
              <w:t>；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凤祥社区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eastAsia="zh-CN"/>
              </w:rPr>
              <w:t>和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仁福社区松柏、大众、谭家、月塘、新建、石子塘、六眼塘、油榨、铁井湖、枫树、新塘、何家湾等组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eastAsia="zh-CN"/>
              </w:rPr>
              <w:t>；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白马大道西一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Cs w:val="21"/>
                <w:highlight w:val="none"/>
              </w:rPr>
              <w:t>至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Cs w:val="21"/>
                <w:highlight w:val="none"/>
                <w:lang w:eastAsia="zh-CN"/>
              </w:rPr>
              <w:t>西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Cs w:val="21"/>
                <w:highlight w:val="none"/>
              </w:rPr>
              <w:t>八街、白马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社区、白龙社区、凤形社区（除正农组、花果组）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0" w:hRule="atLeast"/>
          <w:jc w:val="center"/>
        </w:trPr>
        <w:tc>
          <w:tcPr>
            <w:tcW w:w="987" w:type="dxa"/>
            <w:vMerge w:val="continue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296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宁乡一中滨江中学</w:t>
            </w:r>
          </w:p>
        </w:tc>
        <w:tc>
          <w:tcPr>
            <w:tcW w:w="69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</w:rPr>
              <w:t>16</w:t>
            </w:r>
          </w:p>
        </w:tc>
        <w:tc>
          <w:tcPr>
            <w:tcW w:w="73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</w:rPr>
              <w:t>800</w:t>
            </w:r>
          </w:p>
        </w:tc>
        <w:tc>
          <w:tcPr>
            <w:tcW w:w="25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白马大道以东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区域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eastAsia="zh-CN"/>
              </w:rPr>
              <w:t>。</w:t>
            </w:r>
          </w:p>
        </w:tc>
        <w:tc>
          <w:tcPr>
            <w:tcW w:w="7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爱琴湾、吾悦广场、吾悦华府、兴隆苑、丽水佳园、皇庭尚品、香山锦苑、江山美景、金域蓝湾、珺钰府、湘龙府、香山文锦苑、幸福家园、龙凤花园、水岸星城、白马安置区、缇香美岸、星澜之悦、盛景豪庭、凤凰新城、碧桂园滨江府、兆基沩水玥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eastAsia="zh-CN"/>
              </w:rPr>
              <w:t>、正农桥小区；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正农社区、龙江社区、白马大道东一至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  <w:lang w:eastAsia="zh-CN"/>
              </w:rPr>
              <w:t>东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七街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eastAsia="zh-CN"/>
              </w:rPr>
              <w:t>；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仁福社区莲花组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张家滩、歪坝子、沙堤、朱家、仁和、老湾、湖湾、农家、洲脑、东湖、东风、新兴、钟陶、和平、戴家、雷家、谢家、杨家、姚家、星明、浅水等组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eastAsia="zh-CN"/>
              </w:rPr>
              <w:t>；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凤形社区正农组、花果组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 w:hRule="atLeast"/>
          <w:jc w:val="center"/>
        </w:trPr>
        <w:tc>
          <w:tcPr>
            <w:tcW w:w="98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历经铺</w:t>
            </w:r>
          </w:p>
        </w:tc>
        <w:tc>
          <w:tcPr>
            <w:tcW w:w="1296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长郡沩东中学</w:t>
            </w:r>
          </w:p>
        </w:tc>
        <w:tc>
          <w:tcPr>
            <w:tcW w:w="69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lang w:val="en-US" w:eastAsia="zh-CN"/>
              </w:rPr>
              <w:t>20</w:t>
            </w:r>
          </w:p>
        </w:tc>
        <w:tc>
          <w:tcPr>
            <w:tcW w:w="73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lang w:val="en-US" w:eastAsia="zh-CN"/>
              </w:rPr>
              <w:t>10</w:t>
            </w:r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</w:rPr>
              <w:t>00</w:t>
            </w:r>
          </w:p>
        </w:tc>
        <w:tc>
          <w:tcPr>
            <w:tcW w:w="25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历经铺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街道全域。</w:t>
            </w:r>
          </w:p>
        </w:tc>
        <w:tc>
          <w:tcPr>
            <w:tcW w:w="7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历经铺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街道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域内小学毕业生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  <w:t>；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历经铺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街道域内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进城务工人员随迁子女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9" w:hRule="atLeast"/>
          <w:jc w:val="center"/>
        </w:trPr>
        <w:tc>
          <w:tcPr>
            <w:tcW w:w="2283" w:type="dxa"/>
            <w:gridSpan w:val="2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实验中学</w:t>
            </w:r>
          </w:p>
        </w:tc>
        <w:tc>
          <w:tcPr>
            <w:tcW w:w="69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lang w:val="en-US" w:eastAsia="zh-CN"/>
              </w:rPr>
              <w:t>20</w:t>
            </w:r>
          </w:p>
        </w:tc>
        <w:tc>
          <w:tcPr>
            <w:tcW w:w="73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lang w:val="en-US" w:eastAsia="zh-CN"/>
              </w:rPr>
              <w:t>1000</w:t>
            </w:r>
          </w:p>
        </w:tc>
        <w:tc>
          <w:tcPr>
            <w:tcW w:w="25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eastAsia="zh-CN"/>
              </w:rPr>
              <w:t>万寿山小学（候旨亭社区户籍）毕业生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  <w:t>；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百灵鸟小学毕业生；</w:t>
            </w: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eastAsia="zh-CN"/>
              </w:rPr>
              <w:t>城郊街道和经开区部分毕业学生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eastAsia="zh-CN"/>
              </w:rPr>
              <w:t>白马桥街道、玉潭街道部分进城务工人员随迁子女。</w:t>
            </w:r>
          </w:p>
        </w:tc>
        <w:tc>
          <w:tcPr>
            <w:tcW w:w="7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eastAsia="zh-CN"/>
              </w:rPr>
              <w:t>万寿山小学（候旨亭社区户籍）毕业生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  <w:t>；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百灵鸟小学毕业生；</w:t>
            </w: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eastAsia="zh-CN"/>
              </w:rPr>
              <w:t>城郊街道和经开区部分毕业学生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eastAsia="zh-CN"/>
              </w:rPr>
              <w:t>白马桥街道、玉潭街道部分进城务工人员随迁子女。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283" w:type="dxa"/>
            <w:gridSpan w:val="2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合计</w:t>
            </w:r>
          </w:p>
        </w:tc>
        <w:tc>
          <w:tcPr>
            <w:tcW w:w="69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lang w:val="en-US" w:eastAsia="zh-CN"/>
              </w:rPr>
              <w:t>156</w:t>
            </w:r>
          </w:p>
        </w:tc>
        <w:tc>
          <w:tcPr>
            <w:tcW w:w="73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lang w:val="en-US" w:eastAsia="zh-CN"/>
              </w:rPr>
              <w:t>7800</w:t>
            </w:r>
          </w:p>
        </w:tc>
        <w:tc>
          <w:tcPr>
            <w:tcW w:w="25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7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</w:tbl>
    <w:p>
      <w:pPr>
        <w:rPr>
          <w:color w:val="auto"/>
        </w:rPr>
      </w:pPr>
    </w:p>
    <w:sectPr>
      <w:headerReference r:id="rId3" w:type="default"/>
      <w:footerReference r:id="rId4" w:type="default"/>
      <w:pgSz w:w="16838" w:h="11906" w:orient="landscape"/>
      <w:pgMar w:top="1417" w:right="1701" w:bottom="1417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  <w:rPr>
        <w:sz w:val="21"/>
        <w:szCs w:val="21"/>
      </w:rPr>
    </w:pPr>
    <w:r>
      <w:rPr>
        <w:sz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Style w:val="9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9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9"/>
                              <w:sz w:val="28"/>
                              <w:szCs w:val="28"/>
                            </w:rPr>
                            <w:t>18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zql5uc8AAAAFAQAADwAAAAAAAAABACAAAAAiAAAAZHJzL2Rvd25y&#10;ZXYueG1sUEsBAhQAFAAAAAgAh07iQCtOv03OAQAApwMAAA4AAAAAAAAAAQAgAAAAHgEAAGRycy9l&#10;Mm9Eb2MueG1sUEsFBgAAAAAGAAYAWQEAAF4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Style w:val="9"/>
                        <w:sz w:val="28"/>
                        <w:szCs w:val="28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9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9"/>
                        <w:sz w:val="28"/>
                        <w:szCs w:val="28"/>
                      </w:rPr>
                      <w:t>18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2"/>
  <w:doNotDisplayPageBoundaries w:val="1"/>
  <w:embedSystemFonts/>
  <w:bordersDoNotSurroundHeader w:val="1"/>
  <w:bordersDoNotSurroundFooter w:val="1"/>
  <w:documentProtection w:enforcement="0"/>
  <w:defaultTabStop w:val="420"/>
  <w:drawingGridHorizontalSpacing w:val="210"/>
  <w:drawingGridVerticalSpacing w:val="156"/>
  <w:displayHorizontalDrawingGridEvery w:val="1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B63A87"/>
    <w:rsid w:val="00831407"/>
    <w:rsid w:val="018B780E"/>
    <w:rsid w:val="029D55E6"/>
    <w:rsid w:val="03F60FF6"/>
    <w:rsid w:val="04DB358E"/>
    <w:rsid w:val="05A45FDB"/>
    <w:rsid w:val="0BB12252"/>
    <w:rsid w:val="0BC341EF"/>
    <w:rsid w:val="0D7E5469"/>
    <w:rsid w:val="0DA675E9"/>
    <w:rsid w:val="0F501F02"/>
    <w:rsid w:val="103510F8"/>
    <w:rsid w:val="11B756A0"/>
    <w:rsid w:val="13076D7C"/>
    <w:rsid w:val="153B1AE6"/>
    <w:rsid w:val="15A00DC2"/>
    <w:rsid w:val="16C77F98"/>
    <w:rsid w:val="17573B63"/>
    <w:rsid w:val="19510D51"/>
    <w:rsid w:val="19520625"/>
    <w:rsid w:val="1B155DAE"/>
    <w:rsid w:val="1C634F97"/>
    <w:rsid w:val="1D0B2E39"/>
    <w:rsid w:val="1F9E130F"/>
    <w:rsid w:val="20DB35F6"/>
    <w:rsid w:val="213F231A"/>
    <w:rsid w:val="21C3452E"/>
    <w:rsid w:val="21E34627"/>
    <w:rsid w:val="238276F7"/>
    <w:rsid w:val="239401DD"/>
    <w:rsid w:val="23BD1E23"/>
    <w:rsid w:val="241B1E90"/>
    <w:rsid w:val="2B1440A6"/>
    <w:rsid w:val="2CF84BA1"/>
    <w:rsid w:val="2DCE2518"/>
    <w:rsid w:val="2EF43E97"/>
    <w:rsid w:val="2F73201E"/>
    <w:rsid w:val="341113B0"/>
    <w:rsid w:val="354D6418"/>
    <w:rsid w:val="35D23F20"/>
    <w:rsid w:val="38B13162"/>
    <w:rsid w:val="39C649EB"/>
    <w:rsid w:val="3ADB29E7"/>
    <w:rsid w:val="3AED5FA8"/>
    <w:rsid w:val="3B8701AA"/>
    <w:rsid w:val="3C533C08"/>
    <w:rsid w:val="3EB63A87"/>
    <w:rsid w:val="3FF7238A"/>
    <w:rsid w:val="429E7A35"/>
    <w:rsid w:val="43A02F9F"/>
    <w:rsid w:val="44C94DBA"/>
    <w:rsid w:val="4B0A671E"/>
    <w:rsid w:val="4CEC0D14"/>
    <w:rsid w:val="4D3C7046"/>
    <w:rsid w:val="4D67790C"/>
    <w:rsid w:val="54B07317"/>
    <w:rsid w:val="550B608B"/>
    <w:rsid w:val="561108BB"/>
    <w:rsid w:val="5A64198B"/>
    <w:rsid w:val="5B624E9D"/>
    <w:rsid w:val="5B890697"/>
    <w:rsid w:val="5B9B762E"/>
    <w:rsid w:val="5BCF0ABF"/>
    <w:rsid w:val="5E9335CC"/>
    <w:rsid w:val="609126A6"/>
    <w:rsid w:val="61344DF6"/>
    <w:rsid w:val="61422F23"/>
    <w:rsid w:val="623065F6"/>
    <w:rsid w:val="62FA7330"/>
    <w:rsid w:val="663F493D"/>
    <w:rsid w:val="66A674D1"/>
    <w:rsid w:val="67DD4B2A"/>
    <w:rsid w:val="684821D4"/>
    <w:rsid w:val="6A0D3D09"/>
    <w:rsid w:val="730E4732"/>
    <w:rsid w:val="76E05D9C"/>
    <w:rsid w:val="7C613C44"/>
    <w:rsid w:val="7D8A0E59"/>
    <w:rsid w:val="7E391E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6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styleId="9">
    <w:name w:val="page number"/>
    <w:basedOn w:val="8"/>
    <w:qFormat/>
    <w:uiPriority w:val="0"/>
  </w:style>
  <w:style w:type="paragraph" w:customStyle="1" w:styleId="10">
    <w:name w:val="样式 文字 + 首行缩进:  2 字符3"/>
    <w:basedOn w:val="1"/>
    <w:qFormat/>
    <w:uiPriority w:val="0"/>
    <w:pPr>
      <w:spacing w:line="360" w:lineRule="auto"/>
      <w:jc w:val="left"/>
    </w:pPr>
    <w:rPr>
      <w:sz w:val="28"/>
      <w:szCs w:val="28"/>
    </w:rPr>
  </w:style>
  <w:style w:type="paragraph" w:customStyle="1" w:styleId="11">
    <w:name w:val="pa-5"/>
    <w:basedOn w:val="1"/>
    <w:qFormat/>
    <w:uiPriority w:val="0"/>
    <w:pPr>
      <w:widowControl/>
      <w:spacing w:line="360" w:lineRule="atLeast"/>
      <w:ind w:firstLine="480"/>
      <w:jc w:val="left"/>
    </w:pPr>
    <w:rPr>
      <w:rFonts w:ascii="宋体" w:hAnsi="宋体" w:cs="宋体"/>
      <w:kern w:val="0"/>
      <w:sz w:val="24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7196</Words>
  <Characters>7318</Characters>
  <Lines>0</Lines>
  <Paragraphs>0</Paragraphs>
  <TotalTime>56</TotalTime>
  <ScaleCrop>false</ScaleCrop>
  <LinksUpToDate>false</LinksUpToDate>
  <CharactersWithSpaces>7321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2025-03-31T01:49:00Z</dcterms:created>
  <dc:creator>和同</dc:creator>
  <cp:lastModifiedBy>Administrator</cp:lastModifiedBy>
  <cp:lastPrinted>2025-05-15T07:25:00Z</cp:lastPrinted>
  <dcterms:modified xsi:type="dcterms:W3CDTF">2025-05-19T02:58:51Z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  <property fmtid="{D5CDD505-2E9C-101B-9397-08002B2CF9AE}" pid="3" name="ICV">
    <vt:lpwstr>A0EA23BD67824F56A6DCAEE183893FB3_13</vt:lpwstr>
  </property>
  <property fmtid="{D5CDD505-2E9C-101B-9397-08002B2CF9AE}" pid="4" name="KSOTemplateDocerSaveRecord">
    <vt:lpwstr>eyJoZGlkIjoiNGZiMjYzNWVmNTc2YzkyNTQ4M2U5YmFjY2ZmMTU4YTciLCJ1c2VySWQiOiI0MTE4NDgzMzMifQ==</vt:lpwstr>
  </property>
</Properties>
</file>