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291C" w:rsidRPr="003E291C" w:rsidRDefault="003E291C" w:rsidP="003E291C">
      <w:pPr>
        <w:spacing w:line="600" w:lineRule="exact"/>
        <w:ind w:firstLineChars="193" w:firstLine="849"/>
        <w:jc w:val="left"/>
        <w:rPr>
          <w:rFonts w:ascii="方正小标宋简体" w:eastAsia="方正小标宋简体" w:hAnsi="黑体" w:cs="黑体"/>
          <w:kern w:val="0"/>
          <w:sz w:val="44"/>
          <w:szCs w:val="44"/>
        </w:rPr>
      </w:pPr>
      <w:r w:rsidRPr="003E291C">
        <w:rPr>
          <w:rFonts w:ascii="方正小标宋简体" w:eastAsia="方正小标宋简体" w:hAnsi="黑体" w:hint="eastAsia"/>
          <w:kern w:val="0"/>
          <w:sz w:val="44"/>
          <w:szCs w:val="44"/>
        </w:rPr>
        <w:t>2020</w:t>
      </w:r>
      <w:r w:rsidRPr="003E291C">
        <w:rPr>
          <w:rFonts w:ascii="方正小标宋简体" w:eastAsia="方正小标宋简体" w:hAnsi="黑体" w:cs="黑体" w:hint="eastAsia"/>
          <w:kern w:val="0"/>
          <w:sz w:val="44"/>
          <w:szCs w:val="44"/>
        </w:rPr>
        <w:t>年度部门整体支出绩效评价报告</w:t>
      </w:r>
      <w:bookmarkStart w:id="0" w:name="_GoBack"/>
      <w:bookmarkEnd w:id="0"/>
    </w:p>
    <w:p w:rsidR="003E291C" w:rsidRDefault="003E291C" w:rsidP="003E291C">
      <w:pPr>
        <w:pStyle w:val="2"/>
        <w:snapToGrid w:val="0"/>
        <w:spacing w:line="600" w:lineRule="exact"/>
        <w:ind w:firstLine="640"/>
        <w:rPr>
          <w:rFonts w:ascii="黑体" w:eastAsia="黑体" w:hAnsi="黑体"/>
          <w:szCs w:val="32"/>
        </w:rPr>
      </w:pPr>
    </w:p>
    <w:p w:rsidR="003E291C" w:rsidRDefault="003E291C" w:rsidP="003E291C">
      <w:pPr>
        <w:pStyle w:val="2"/>
        <w:snapToGrid w:val="0"/>
        <w:spacing w:line="600" w:lineRule="exact"/>
        <w:ind w:firstLine="640"/>
      </w:pPr>
      <w:r>
        <w:rPr>
          <w:rFonts w:ascii="黑体" w:eastAsia="黑体" w:hAnsi="黑体"/>
          <w:szCs w:val="32"/>
        </w:rPr>
        <w:t>一、部门概况</w:t>
      </w:r>
    </w:p>
    <w:p w:rsidR="003E291C" w:rsidRDefault="003E291C" w:rsidP="003E291C">
      <w:pPr>
        <w:snapToGrid w:val="0"/>
        <w:spacing w:line="600" w:lineRule="exact"/>
        <w:ind w:firstLineChars="200" w:firstLine="640"/>
        <w:rPr>
          <w:rFonts w:ascii="仿宋_GB2312" w:eastAsia="仿宋_GB2312"/>
          <w:sz w:val="32"/>
          <w:szCs w:val="32"/>
        </w:rPr>
      </w:pPr>
      <w:r>
        <w:rPr>
          <w:rFonts w:ascii="仿宋_GB2312" w:eastAsia="仿宋_GB2312"/>
          <w:sz w:val="32"/>
          <w:szCs w:val="32"/>
        </w:rPr>
        <w:t>（一）部门基本情况（包括部门的在职人员情况、机构设置、主要职能及重点工作计划等）。</w:t>
      </w:r>
    </w:p>
    <w:p w:rsidR="003E291C" w:rsidRDefault="003E291C" w:rsidP="003E291C">
      <w:pPr>
        <w:pStyle w:val="2"/>
        <w:snapToGrid w:val="0"/>
        <w:spacing w:line="600" w:lineRule="exact"/>
        <w:ind w:firstLine="640"/>
      </w:pPr>
      <w:r>
        <w:rPr>
          <w:szCs w:val="32"/>
        </w:rPr>
        <w:t>市政协机关</w:t>
      </w:r>
      <w:r>
        <w:rPr>
          <w:rFonts w:ascii="Times New Roman"/>
          <w:szCs w:val="32"/>
        </w:rPr>
        <w:t>2020</w:t>
      </w:r>
      <w:r>
        <w:rPr>
          <w:szCs w:val="32"/>
        </w:rPr>
        <w:t>年末在职人数</w:t>
      </w:r>
      <w:r>
        <w:rPr>
          <w:rFonts w:ascii="Times New Roman"/>
          <w:szCs w:val="32"/>
        </w:rPr>
        <w:t>40</w:t>
      </w:r>
      <w:r>
        <w:rPr>
          <w:szCs w:val="32"/>
        </w:rPr>
        <w:t>人，其中：公务员</w:t>
      </w:r>
      <w:r>
        <w:rPr>
          <w:rFonts w:ascii="Times New Roman"/>
          <w:szCs w:val="32"/>
        </w:rPr>
        <w:t>35</w:t>
      </w:r>
      <w:r>
        <w:rPr>
          <w:szCs w:val="32"/>
        </w:rPr>
        <w:t>人，非参公事业人员</w:t>
      </w:r>
      <w:r>
        <w:rPr>
          <w:rFonts w:ascii="Times New Roman"/>
          <w:szCs w:val="32"/>
        </w:rPr>
        <w:t>5</w:t>
      </w:r>
      <w:r>
        <w:rPr>
          <w:szCs w:val="32"/>
        </w:rPr>
        <w:t>人。</w:t>
      </w:r>
    </w:p>
    <w:p w:rsidR="003E291C" w:rsidRDefault="003E291C" w:rsidP="003E291C">
      <w:pPr>
        <w:snapToGrid w:val="0"/>
        <w:spacing w:line="600" w:lineRule="exact"/>
        <w:ind w:firstLineChars="200" w:firstLine="640"/>
        <w:rPr>
          <w:rFonts w:ascii="仿宋_GB2312" w:eastAsia="仿宋_GB2312"/>
          <w:sz w:val="32"/>
          <w:szCs w:val="32"/>
        </w:rPr>
      </w:pPr>
      <w:r>
        <w:rPr>
          <w:rFonts w:ascii="仿宋_GB2312" w:eastAsia="仿宋_GB2312"/>
          <w:sz w:val="32"/>
          <w:szCs w:val="32"/>
        </w:rPr>
        <w:t>市政协机关内设六委一办均为正科级单位：办公室、委员学习联络委、提案委、经济科技和外事委、农业农村和人口资源委、社会法制和民族宗教委、文教卫体和文史委。</w:t>
      </w:r>
    </w:p>
    <w:p w:rsidR="003E291C" w:rsidRDefault="003E291C" w:rsidP="003E291C">
      <w:pPr>
        <w:pStyle w:val="2"/>
        <w:snapToGrid w:val="0"/>
        <w:spacing w:line="600" w:lineRule="exact"/>
        <w:ind w:firstLine="640"/>
        <w:rPr>
          <w:rFonts w:hAnsi="宋体" w:cs="宋体"/>
          <w:color w:val="333333"/>
          <w:kern w:val="0"/>
          <w:szCs w:val="32"/>
        </w:rPr>
      </w:pPr>
      <w:r>
        <w:rPr>
          <w:rFonts w:hAnsi="宋体" w:cs="宋体"/>
          <w:color w:val="333333"/>
          <w:kern w:val="0"/>
          <w:szCs w:val="32"/>
        </w:rPr>
        <w:t>主要职能：政治协商、民主监督、参政议政。</w:t>
      </w:r>
    </w:p>
    <w:p w:rsidR="003E291C" w:rsidRDefault="003E291C" w:rsidP="003E291C">
      <w:pPr>
        <w:snapToGrid w:val="0"/>
        <w:spacing w:line="600" w:lineRule="exact"/>
        <w:ind w:firstLineChars="200" w:firstLine="640"/>
        <w:rPr>
          <w:rFonts w:ascii="楷体_GB2312" w:eastAsia="楷体_GB2312" w:hAnsi="楷体_GB2312" w:cs="楷体_GB2312"/>
          <w:bCs/>
          <w:sz w:val="32"/>
          <w:szCs w:val="32"/>
        </w:rPr>
      </w:pPr>
      <w:r>
        <w:rPr>
          <w:rFonts w:ascii="仿宋_GB2312" w:eastAsia="仿宋_GB2312" w:hAnsi="楷体_GB2312" w:cs="楷体_GB2312"/>
          <w:bCs/>
          <w:sz w:val="32"/>
          <w:szCs w:val="32"/>
        </w:rPr>
        <w:t>重点工作计划：围绕中心重点，开展政治协商；聚焦经济民生，积极建言资政；强化责任担当，彰显一线作为。打造</w:t>
      </w:r>
      <w:r>
        <w:rPr>
          <w:rFonts w:ascii="仿宋_GB2312" w:eastAsia="仿宋_GB2312" w:hAnsi="楷体_GB2312" w:cs="楷体_GB2312"/>
          <w:bCs/>
          <w:sz w:val="32"/>
          <w:szCs w:val="32"/>
        </w:rPr>
        <w:t>“</w:t>
      </w:r>
      <w:r>
        <w:rPr>
          <w:rFonts w:ascii="仿宋_GB2312" w:eastAsia="仿宋_GB2312" w:hAnsi="楷体_GB2312" w:cs="楷体_GB2312"/>
          <w:bCs/>
          <w:sz w:val="32"/>
          <w:szCs w:val="32"/>
        </w:rPr>
        <w:t>基层民主协商对话会</w:t>
      </w:r>
      <w:r>
        <w:rPr>
          <w:rFonts w:eastAsia="仿宋_GB2312" w:cs="楷体_GB2312"/>
          <w:bCs/>
          <w:sz w:val="32"/>
          <w:szCs w:val="32"/>
        </w:rPr>
        <w:t>4</w:t>
      </w:r>
      <w:r>
        <w:rPr>
          <w:rFonts w:ascii="仿宋_GB2312" w:eastAsia="仿宋_GB2312" w:hAnsi="楷体_GB2312" w:cs="楷体_GB2312"/>
          <w:bCs/>
          <w:sz w:val="32"/>
          <w:szCs w:val="32"/>
        </w:rPr>
        <w:t>.</w:t>
      </w:r>
      <w:r>
        <w:rPr>
          <w:rFonts w:eastAsia="仿宋_GB2312" w:cs="楷体_GB2312"/>
          <w:bCs/>
          <w:sz w:val="32"/>
          <w:szCs w:val="32"/>
        </w:rPr>
        <w:t>0</w:t>
      </w:r>
      <w:r>
        <w:rPr>
          <w:rFonts w:ascii="仿宋_GB2312" w:eastAsia="仿宋_GB2312" w:hAnsi="楷体_GB2312" w:cs="楷体_GB2312"/>
          <w:bCs/>
          <w:sz w:val="32"/>
          <w:szCs w:val="32"/>
        </w:rPr>
        <w:t>版</w:t>
      </w:r>
      <w:r>
        <w:rPr>
          <w:rFonts w:ascii="仿宋_GB2312" w:eastAsia="仿宋_GB2312" w:hAnsi="楷体_GB2312" w:cs="楷体_GB2312"/>
          <w:bCs/>
          <w:sz w:val="32"/>
          <w:szCs w:val="32"/>
        </w:rPr>
        <w:t>”</w:t>
      </w:r>
      <w:r>
        <w:rPr>
          <w:rFonts w:ascii="楷体_GB2312" w:eastAsia="楷体_GB2312" w:hAnsi="楷体_GB2312" w:cs="楷体_GB2312"/>
          <w:bCs/>
          <w:sz w:val="32"/>
          <w:szCs w:val="32"/>
        </w:rPr>
        <w:t>；</w:t>
      </w:r>
      <w:r>
        <w:rPr>
          <w:rFonts w:ascii="仿宋_GB2312" w:eastAsia="仿宋_GB2312" w:hAnsi="仿宋_GB2312" w:cs="仿宋_GB2312"/>
          <w:sz w:val="32"/>
          <w:szCs w:val="32"/>
        </w:rPr>
        <w:t xml:space="preserve"> 为更好地发挥新乡贤在践行社会主义核心价值观中的积极作用，广泛凝聚社会共识，助推经济社会各项事业发展；为了更加深入挖掘、保护好我市历史文化资源，从</w:t>
      </w:r>
      <w:r>
        <w:rPr>
          <w:rFonts w:eastAsia="仿宋_GB2312" w:cs="仿宋_GB2312"/>
          <w:sz w:val="32"/>
          <w:szCs w:val="32"/>
        </w:rPr>
        <w:t>2016</w:t>
      </w:r>
      <w:r>
        <w:rPr>
          <w:rFonts w:ascii="仿宋_GB2312" w:eastAsia="仿宋_GB2312" w:hAnsi="仿宋_GB2312" w:cs="仿宋_GB2312"/>
          <w:sz w:val="32"/>
          <w:szCs w:val="32"/>
        </w:rPr>
        <w:t>年开始，宁乡市政协组织普查力量，开展了为期五年的历史文化资源普查工作。</w:t>
      </w:r>
      <w:r>
        <w:rPr>
          <w:rFonts w:ascii="仿宋_GB2312" w:eastAsia="仿宋_GB2312" w:hAnsi="仿宋_GB2312" w:cs="仿宋_GB2312"/>
          <w:bCs/>
          <w:sz w:val="32"/>
          <w:szCs w:val="32"/>
        </w:rPr>
        <w:t>高度重视委员学习培训，广泛开展联络联谊活动。</w:t>
      </w:r>
    </w:p>
    <w:p w:rsidR="003E291C" w:rsidRDefault="003E291C" w:rsidP="003E291C">
      <w:pPr>
        <w:snapToGrid w:val="0"/>
        <w:spacing w:line="600" w:lineRule="exact"/>
        <w:ind w:firstLineChars="200" w:firstLine="640"/>
        <w:rPr>
          <w:rFonts w:ascii="仿宋_GB2312" w:eastAsia="仿宋_GB2312"/>
          <w:sz w:val="32"/>
          <w:szCs w:val="32"/>
        </w:rPr>
      </w:pPr>
      <w:r>
        <w:rPr>
          <w:rFonts w:ascii="仿宋_GB2312" w:eastAsia="仿宋_GB2312"/>
          <w:sz w:val="32"/>
          <w:szCs w:val="32"/>
        </w:rPr>
        <w:t>（二）部门整体支出规模、使用方向和主要内容、涉及范围等。</w:t>
      </w:r>
    </w:p>
    <w:p w:rsidR="003E291C" w:rsidRDefault="003E291C" w:rsidP="003E291C">
      <w:pPr>
        <w:snapToGrid w:val="0"/>
        <w:spacing w:line="600" w:lineRule="exact"/>
        <w:ind w:firstLineChars="200" w:firstLine="640"/>
        <w:rPr>
          <w:rFonts w:ascii="黑体" w:eastAsia="黑体" w:hAnsi="黑体"/>
          <w:sz w:val="32"/>
          <w:szCs w:val="32"/>
        </w:rPr>
      </w:pPr>
      <w:r>
        <w:rPr>
          <w:rFonts w:ascii="黑体" w:eastAsia="黑体" w:hAnsi="黑体"/>
          <w:sz w:val="32"/>
          <w:szCs w:val="32"/>
        </w:rPr>
        <w:t>二、部门整体支出管理及使用情况</w:t>
      </w:r>
    </w:p>
    <w:p w:rsidR="003E291C" w:rsidRDefault="003E291C" w:rsidP="003E291C">
      <w:pPr>
        <w:snapToGrid w:val="0"/>
        <w:spacing w:line="600" w:lineRule="exact"/>
        <w:ind w:firstLineChars="200" w:firstLine="640"/>
        <w:rPr>
          <w:rFonts w:ascii="仿宋_GB2312" w:eastAsia="仿宋_GB2312"/>
          <w:sz w:val="32"/>
          <w:szCs w:val="32"/>
        </w:rPr>
      </w:pPr>
      <w:r>
        <w:rPr>
          <w:rFonts w:ascii="仿宋_GB2312" w:eastAsia="仿宋_GB2312"/>
          <w:sz w:val="32"/>
          <w:szCs w:val="32"/>
        </w:rPr>
        <w:t>（一）基本支出</w:t>
      </w:r>
    </w:p>
    <w:p w:rsidR="003E291C" w:rsidRDefault="003E291C" w:rsidP="003E291C">
      <w:pPr>
        <w:snapToGrid w:val="0"/>
        <w:spacing w:line="600" w:lineRule="exact"/>
        <w:ind w:firstLineChars="200" w:firstLine="640"/>
        <w:rPr>
          <w:rFonts w:ascii="仿宋_GB2312" w:eastAsia="仿宋_GB2312"/>
          <w:sz w:val="32"/>
          <w:szCs w:val="32"/>
        </w:rPr>
      </w:pPr>
      <w:r>
        <w:rPr>
          <w:rFonts w:ascii="仿宋_GB2312" w:eastAsia="仿宋_GB2312"/>
          <w:sz w:val="32"/>
          <w:szCs w:val="32"/>
        </w:rPr>
        <w:lastRenderedPageBreak/>
        <w:t>介绍基本支出的主要用途、范围以及资金的管理情况，尤其是</w:t>
      </w:r>
      <w:r>
        <w:rPr>
          <w:rFonts w:ascii="仿宋_GB2312" w:eastAsia="仿宋_GB2312"/>
          <w:sz w:val="32"/>
          <w:szCs w:val="32"/>
        </w:rPr>
        <w:t>“</w:t>
      </w:r>
      <w:r>
        <w:rPr>
          <w:rFonts w:ascii="仿宋_GB2312" w:eastAsia="仿宋_GB2312"/>
          <w:sz w:val="32"/>
          <w:szCs w:val="32"/>
        </w:rPr>
        <w:t>三公</w:t>
      </w:r>
      <w:r>
        <w:rPr>
          <w:rFonts w:ascii="仿宋_GB2312" w:eastAsia="仿宋_GB2312"/>
          <w:sz w:val="32"/>
          <w:szCs w:val="32"/>
        </w:rPr>
        <w:t>”</w:t>
      </w:r>
      <w:r>
        <w:rPr>
          <w:rFonts w:ascii="仿宋_GB2312" w:eastAsia="仿宋_GB2312"/>
          <w:sz w:val="32"/>
          <w:szCs w:val="32"/>
        </w:rPr>
        <w:t>经费的使用和管理情况。</w:t>
      </w:r>
    </w:p>
    <w:p w:rsidR="003E291C" w:rsidRDefault="003E291C" w:rsidP="003E291C">
      <w:pPr>
        <w:shd w:val="clear" w:color="auto" w:fill="FFFFFF"/>
        <w:snapToGrid w:val="0"/>
        <w:spacing w:line="600" w:lineRule="exact"/>
        <w:ind w:firstLineChars="200" w:firstLine="640"/>
        <w:rPr>
          <w:rFonts w:eastAsia="仿宋_GB2312"/>
          <w:sz w:val="32"/>
          <w:szCs w:val="32"/>
        </w:rPr>
      </w:pPr>
      <w:r>
        <w:rPr>
          <w:rFonts w:eastAsia="仿宋_GB2312"/>
          <w:sz w:val="32"/>
          <w:szCs w:val="32"/>
        </w:rPr>
        <w:t>2020</w:t>
      </w:r>
      <w:r>
        <w:rPr>
          <w:rFonts w:eastAsia="仿宋_GB2312"/>
          <w:sz w:val="32"/>
          <w:szCs w:val="32"/>
        </w:rPr>
        <w:t>年一般公共预算财政拨款基本支出决算</w:t>
      </w:r>
      <w:r>
        <w:rPr>
          <w:rFonts w:eastAsia="仿宋_GB2312"/>
          <w:sz w:val="32"/>
          <w:szCs w:val="32"/>
        </w:rPr>
        <w:t>851.7</w:t>
      </w:r>
      <w:r>
        <w:rPr>
          <w:rFonts w:eastAsia="仿宋_GB2312"/>
          <w:sz w:val="32"/>
          <w:szCs w:val="32"/>
        </w:rPr>
        <w:t>万元。其中：工资福利支出</w:t>
      </w:r>
      <w:r>
        <w:rPr>
          <w:rFonts w:eastAsia="仿宋_GB2312"/>
          <w:sz w:val="32"/>
          <w:szCs w:val="32"/>
        </w:rPr>
        <w:t>710.1</w:t>
      </w:r>
      <w:r>
        <w:rPr>
          <w:rFonts w:eastAsia="仿宋_GB2312"/>
          <w:sz w:val="32"/>
          <w:szCs w:val="32"/>
        </w:rPr>
        <w:t>万元，商品和服务支出</w:t>
      </w:r>
      <w:r>
        <w:rPr>
          <w:rFonts w:eastAsia="仿宋_GB2312"/>
          <w:sz w:val="32"/>
          <w:szCs w:val="32"/>
        </w:rPr>
        <w:t>116.03</w:t>
      </w:r>
      <w:r>
        <w:rPr>
          <w:rFonts w:eastAsia="仿宋_GB2312"/>
          <w:sz w:val="32"/>
          <w:szCs w:val="32"/>
        </w:rPr>
        <w:t>万元，对个人和家庭的补助支出</w:t>
      </w:r>
      <w:r>
        <w:rPr>
          <w:rFonts w:eastAsia="仿宋_GB2312"/>
          <w:sz w:val="32"/>
          <w:szCs w:val="32"/>
        </w:rPr>
        <w:t>25.57</w:t>
      </w:r>
      <w:r>
        <w:rPr>
          <w:rFonts w:eastAsia="仿宋_GB2312"/>
          <w:sz w:val="32"/>
          <w:szCs w:val="32"/>
        </w:rPr>
        <w:t>万元。</w:t>
      </w:r>
      <w:r>
        <w:rPr>
          <w:rFonts w:eastAsia="仿宋_GB2312"/>
          <w:sz w:val="32"/>
          <w:szCs w:val="32"/>
        </w:rPr>
        <w:t>2020</w:t>
      </w:r>
      <w:r>
        <w:rPr>
          <w:rFonts w:eastAsia="仿宋_GB2312"/>
          <w:sz w:val="32"/>
          <w:szCs w:val="32"/>
        </w:rPr>
        <w:t>年</w:t>
      </w:r>
      <w:r>
        <w:rPr>
          <w:rFonts w:eastAsia="仿宋_GB2312"/>
          <w:sz w:val="32"/>
          <w:szCs w:val="32"/>
        </w:rPr>
        <w:t xml:space="preserve"> “</w:t>
      </w:r>
      <w:r>
        <w:rPr>
          <w:rFonts w:eastAsia="仿宋_GB2312"/>
          <w:sz w:val="32"/>
          <w:szCs w:val="32"/>
        </w:rPr>
        <w:t>三公</w:t>
      </w:r>
      <w:r>
        <w:rPr>
          <w:rFonts w:eastAsia="仿宋_GB2312"/>
          <w:sz w:val="32"/>
          <w:szCs w:val="32"/>
        </w:rPr>
        <w:t>”</w:t>
      </w:r>
      <w:r>
        <w:rPr>
          <w:rFonts w:eastAsia="仿宋_GB2312"/>
          <w:sz w:val="32"/>
          <w:szCs w:val="32"/>
        </w:rPr>
        <w:t>经费决算支出</w:t>
      </w:r>
      <w:r>
        <w:rPr>
          <w:rFonts w:eastAsia="仿宋_GB2312"/>
          <w:sz w:val="32"/>
          <w:szCs w:val="32"/>
        </w:rPr>
        <w:t>6.44</w:t>
      </w:r>
      <w:r>
        <w:rPr>
          <w:rFonts w:eastAsia="仿宋_GB2312"/>
          <w:sz w:val="32"/>
          <w:szCs w:val="32"/>
        </w:rPr>
        <w:t>万元，比年初预算减少</w:t>
      </w:r>
      <w:r>
        <w:rPr>
          <w:rFonts w:eastAsia="仿宋_GB2312"/>
          <w:sz w:val="32"/>
          <w:szCs w:val="32"/>
        </w:rPr>
        <w:t>25.56</w:t>
      </w:r>
      <w:r>
        <w:rPr>
          <w:rFonts w:eastAsia="仿宋_GB2312"/>
          <w:sz w:val="32"/>
          <w:szCs w:val="32"/>
        </w:rPr>
        <w:t>万元，下降</w:t>
      </w:r>
      <w:r>
        <w:rPr>
          <w:rFonts w:eastAsia="仿宋_GB2312"/>
          <w:sz w:val="32"/>
          <w:szCs w:val="32"/>
        </w:rPr>
        <w:t>79.88%</w:t>
      </w:r>
      <w:r>
        <w:rPr>
          <w:rFonts w:eastAsia="仿宋_GB2312"/>
          <w:sz w:val="32"/>
          <w:szCs w:val="32"/>
        </w:rPr>
        <w:t>。其中</w:t>
      </w:r>
      <w:r>
        <w:rPr>
          <w:rFonts w:eastAsia="仿宋_GB2312"/>
          <w:sz w:val="32"/>
          <w:szCs w:val="32"/>
        </w:rPr>
        <w:t>:</w:t>
      </w:r>
      <w:r>
        <w:rPr>
          <w:rFonts w:eastAsia="仿宋_GB2312"/>
          <w:sz w:val="32"/>
          <w:szCs w:val="32"/>
        </w:rPr>
        <w:t>公务接待支出</w:t>
      </w:r>
      <w:r>
        <w:rPr>
          <w:rFonts w:eastAsia="仿宋_GB2312"/>
          <w:sz w:val="32"/>
          <w:szCs w:val="32"/>
        </w:rPr>
        <w:t>6.44</w:t>
      </w:r>
      <w:r>
        <w:rPr>
          <w:rFonts w:eastAsia="仿宋_GB2312"/>
          <w:sz w:val="32"/>
          <w:szCs w:val="32"/>
        </w:rPr>
        <w:t>万元，比年初预算减少</w:t>
      </w:r>
      <w:r>
        <w:rPr>
          <w:rFonts w:eastAsia="仿宋_GB2312"/>
          <w:sz w:val="32"/>
          <w:szCs w:val="32"/>
        </w:rPr>
        <w:t>25.56</w:t>
      </w:r>
      <w:r>
        <w:rPr>
          <w:rFonts w:eastAsia="仿宋_GB2312"/>
          <w:sz w:val="32"/>
          <w:szCs w:val="32"/>
        </w:rPr>
        <w:t>万元，下降</w:t>
      </w:r>
      <w:r>
        <w:rPr>
          <w:rFonts w:eastAsia="仿宋_GB2312"/>
          <w:sz w:val="32"/>
          <w:szCs w:val="32"/>
        </w:rPr>
        <w:t>79.88%</w:t>
      </w:r>
      <w:r>
        <w:rPr>
          <w:rFonts w:eastAsia="仿宋_GB2312"/>
          <w:sz w:val="32"/>
          <w:szCs w:val="32"/>
        </w:rPr>
        <w:t>。</w:t>
      </w:r>
    </w:p>
    <w:p w:rsidR="003E291C" w:rsidRDefault="003E291C" w:rsidP="003E291C">
      <w:pPr>
        <w:snapToGrid w:val="0"/>
        <w:spacing w:line="600" w:lineRule="exact"/>
        <w:ind w:firstLineChars="200" w:firstLine="640"/>
        <w:rPr>
          <w:rFonts w:ascii="仿宋_GB2312" w:eastAsia="仿宋_GB2312"/>
          <w:sz w:val="32"/>
          <w:szCs w:val="32"/>
        </w:rPr>
      </w:pPr>
      <w:r>
        <w:rPr>
          <w:rFonts w:ascii="仿宋_GB2312" w:eastAsia="仿宋_GB2312"/>
          <w:sz w:val="32"/>
          <w:szCs w:val="32"/>
        </w:rPr>
        <w:t>（二）项目支出</w:t>
      </w:r>
    </w:p>
    <w:p w:rsidR="003E291C" w:rsidRDefault="003E291C" w:rsidP="003E291C">
      <w:pPr>
        <w:snapToGrid w:val="0"/>
        <w:spacing w:line="600" w:lineRule="exact"/>
        <w:ind w:firstLineChars="200" w:firstLine="640"/>
        <w:rPr>
          <w:rFonts w:ascii="仿宋_GB2312" w:eastAsia="仿宋_GB2312"/>
          <w:sz w:val="32"/>
          <w:szCs w:val="32"/>
        </w:rPr>
      </w:pPr>
      <w:r>
        <w:rPr>
          <w:rFonts w:eastAsia="仿宋_GB2312"/>
          <w:sz w:val="32"/>
          <w:szCs w:val="32"/>
        </w:rPr>
        <w:t>1</w:t>
      </w:r>
      <w:r>
        <w:rPr>
          <w:rFonts w:ascii="仿宋_GB2312" w:eastAsia="仿宋_GB2312"/>
          <w:sz w:val="32"/>
          <w:szCs w:val="32"/>
        </w:rPr>
        <w:t>. 项目资金（包括财政资金、自筹资金等）安排落实、总投入等情况分析。</w:t>
      </w:r>
    </w:p>
    <w:p w:rsidR="003E291C" w:rsidRDefault="003E291C" w:rsidP="003E291C">
      <w:pPr>
        <w:snapToGrid w:val="0"/>
        <w:spacing w:line="600" w:lineRule="exact"/>
        <w:ind w:firstLineChars="200" w:firstLine="640"/>
        <w:textAlignment w:val="center"/>
        <w:rPr>
          <w:rFonts w:ascii="仿宋_GB2312" w:eastAsia="仿宋_GB2312" w:hAnsi="宋体" w:cs="宋体"/>
          <w:color w:val="333333"/>
          <w:kern w:val="0"/>
          <w:sz w:val="32"/>
          <w:szCs w:val="32"/>
        </w:rPr>
      </w:pPr>
      <w:r>
        <w:rPr>
          <w:rFonts w:eastAsia="仿宋_GB2312" w:cs="宋体"/>
          <w:color w:val="333333"/>
          <w:kern w:val="0"/>
          <w:sz w:val="32"/>
          <w:szCs w:val="32"/>
        </w:rPr>
        <w:t>2020</w:t>
      </w:r>
      <w:r>
        <w:rPr>
          <w:rFonts w:ascii="仿宋_GB2312" w:eastAsia="仿宋_GB2312" w:hAnsi="宋体" w:cs="宋体"/>
          <w:color w:val="333333"/>
          <w:kern w:val="0"/>
          <w:sz w:val="32"/>
          <w:szCs w:val="32"/>
        </w:rPr>
        <w:t>年项目资金</w:t>
      </w:r>
      <w:r>
        <w:rPr>
          <w:rFonts w:eastAsia="仿宋_GB2312" w:cs="宋体"/>
          <w:color w:val="333333"/>
          <w:kern w:val="0"/>
          <w:sz w:val="32"/>
          <w:szCs w:val="32"/>
        </w:rPr>
        <w:t>296</w:t>
      </w:r>
      <w:r>
        <w:rPr>
          <w:rFonts w:ascii="仿宋_GB2312" w:eastAsia="仿宋_GB2312" w:hAnsi="宋体" w:cs="宋体"/>
          <w:color w:val="333333"/>
          <w:kern w:val="0"/>
          <w:sz w:val="32"/>
          <w:szCs w:val="32"/>
        </w:rPr>
        <w:t>.</w:t>
      </w:r>
      <w:r>
        <w:rPr>
          <w:rFonts w:eastAsia="仿宋_GB2312" w:cs="宋体"/>
          <w:color w:val="333333"/>
          <w:kern w:val="0"/>
          <w:sz w:val="32"/>
          <w:szCs w:val="32"/>
        </w:rPr>
        <w:t>24</w:t>
      </w:r>
      <w:r>
        <w:rPr>
          <w:rFonts w:ascii="仿宋_GB2312" w:eastAsia="仿宋_GB2312" w:hAnsi="宋体" w:cs="宋体"/>
          <w:color w:val="333333"/>
          <w:kern w:val="0"/>
          <w:sz w:val="32"/>
          <w:szCs w:val="32"/>
        </w:rPr>
        <w:t>万元，包括宁乡历史文化利用推进委员会工作经费；农工、民进、无党派经费；政协全会经费；政协委员活动、民主评议及迎春茶话会及中秋联谊会经费等。</w:t>
      </w:r>
    </w:p>
    <w:p w:rsidR="003E291C" w:rsidRDefault="003E291C" w:rsidP="003E291C">
      <w:pPr>
        <w:snapToGrid w:val="0"/>
        <w:spacing w:line="600" w:lineRule="exact"/>
        <w:ind w:firstLineChars="200" w:firstLine="640"/>
        <w:textAlignment w:val="center"/>
        <w:rPr>
          <w:rFonts w:ascii="仿宋_GB2312" w:eastAsia="仿宋_GB2312"/>
          <w:sz w:val="32"/>
          <w:szCs w:val="32"/>
        </w:rPr>
      </w:pPr>
      <w:r>
        <w:rPr>
          <w:rFonts w:eastAsia="仿宋_GB2312"/>
          <w:sz w:val="32"/>
          <w:szCs w:val="32"/>
        </w:rPr>
        <w:t>2</w:t>
      </w:r>
      <w:r>
        <w:rPr>
          <w:rFonts w:ascii="仿宋_GB2312" w:eastAsia="仿宋_GB2312"/>
          <w:sz w:val="32"/>
          <w:szCs w:val="32"/>
        </w:rPr>
        <w:t>. 项目资金（主要指财政资金）实际使用情况分析。</w:t>
      </w:r>
    </w:p>
    <w:p w:rsidR="003E291C" w:rsidRDefault="003E291C" w:rsidP="003E291C">
      <w:pPr>
        <w:snapToGrid w:val="0"/>
        <w:spacing w:line="600" w:lineRule="exact"/>
        <w:ind w:firstLineChars="200" w:firstLine="640"/>
        <w:textAlignment w:val="center"/>
        <w:rPr>
          <w:rFonts w:ascii="仿宋_GB2312" w:eastAsia="仿宋_GB2312" w:hAnsi="宋体" w:cs="宋体"/>
          <w:color w:val="333333"/>
          <w:kern w:val="0"/>
          <w:sz w:val="32"/>
          <w:szCs w:val="32"/>
        </w:rPr>
      </w:pPr>
      <w:r>
        <w:rPr>
          <w:rFonts w:eastAsia="仿宋_GB2312" w:cs="宋体"/>
          <w:color w:val="333333"/>
          <w:kern w:val="0"/>
          <w:sz w:val="32"/>
          <w:szCs w:val="32"/>
        </w:rPr>
        <w:t>2020</w:t>
      </w:r>
      <w:r>
        <w:rPr>
          <w:rFonts w:ascii="仿宋_GB2312" w:eastAsia="仿宋_GB2312" w:hAnsi="宋体" w:cs="宋体"/>
          <w:color w:val="333333"/>
          <w:kern w:val="0"/>
          <w:sz w:val="32"/>
          <w:szCs w:val="32"/>
        </w:rPr>
        <w:t>年项目资金</w:t>
      </w:r>
      <w:r>
        <w:rPr>
          <w:rFonts w:eastAsia="仿宋_GB2312" w:cs="宋体"/>
          <w:color w:val="333333"/>
          <w:kern w:val="0"/>
          <w:sz w:val="32"/>
          <w:szCs w:val="32"/>
        </w:rPr>
        <w:t>296</w:t>
      </w:r>
      <w:r>
        <w:rPr>
          <w:rFonts w:ascii="仿宋_GB2312" w:eastAsia="仿宋_GB2312" w:hAnsi="宋体" w:cs="宋体"/>
          <w:color w:val="333333"/>
          <w:kern w:val="0"/>
          <w:sz w:val="32"/>
          <w:szCs w:val="32"/>
        </w:rPr>
        <w:t>.</w:t>
      </w:r>
      <w:r>
        <w:rPr>
          <w:rFonts w:eastAsia="仿宋_GB2312" w:cs="宋体"/>
          <w:color w:val="333333"/>
          <w:kern w:val="0"/>
          <w:sz w:val="32"/>
          <w:szCs w:val="32"/>
        </w:rPr>
        <w:t>24</w:t>
      </w:r>
      <w:r>
        <w:rPr>
          <w:rFonts w:ascii="仿宋_GB2312" w:eastAsia="仿宋_GB2312" w:hAnsi="宋体" w:cs="宋体"/>
          <w:color w:val="333333"/>
          <w:kern w:val="0"/>
          <w:sz w:val="32"/>
          <w:szCs w:val="32"/>
        </w:rPr>
        <w:t>万元实际使用明细：宁乡历史文化利用推进委员会工作与民主评议及迎春茶话会及中秋联谊会经费</w:t>
      </w:r>
      <w:r>
        <w:rPr>
          <w:rFonts w:eastAsia="仿宋_GB2312" w:cs="宋体"/>
          <w:color w:val="333333"/>
          <w:kern w:val="0"/>
          <w:sz w:val="32"/>
          <w:szCs w:val="32"/>
        </w:rPr>
        <w:t>45</w:t>
      </w:r>
      <w:r>
        <w:rPr>
          <w:rFonts w:ascii="仿宋_GB2312" w:eastAsia="仿宋_GB2312" w:hAnsi="宋体" w:cs="宋体"/>
          <w:color w:val="333333"/>
          <w:kern w:val="0"/>
          <w:sz w:val="32"/>
          <w:szCs w:val="32"/>
        </w:rPr>
        <w:t>万元；农工、民进、无党派经费支出</w:t>
      </w:r>
      <w:r>
        <w:rPr>
          <w:rFonts w:eastAsia="仿宋_GB2312" w:cs="宋体"/>
          <w:color w:val="333333"/>
          <w:kern w:val="0"/>
          <w:sz w:val="32"/>
          <w:szCs w:val="32"/>
        </w:rPr>
        <w:t>10</w:t>
      </w:r>
      <w:r>
        <w:rPr>
          <w:rFonts w:ascii="仿宋_GB2312" w:eastAsia="仿宋_GB2312" w:hAnsi="宋体" w:cs="宋体"/>
          <w:color w:val="333333"/>
          <w:kern w:val="0"/>
          <w:sz w:val="32"/>
          <w:szCs w:val="32"/>
        </w:rPr>
        <w:t>万元；政协全会经费</w:t>
      </w:r>
      <w:r>
        <w:rPr>
          <w:rFonts w:eastAsia="仿宋_GB2312" w:cs="宋体"/>
          <w:color w:val="333333"/>
          <w:kern w:val="0"/>
          <w:sz w:val="32"/>
          <w:szCs w:val="32"/>
        </w:rPr>
        <w:t>140</w:t>
      </w:r>
      <w:r>
        <w:rPr>
          <w:rFonts w:ascii="仿宋_GB2312" w:eastAsia="仿宋_GB2312" w:hAnsi="宋体" w:cs="宋体"/>
          <w:color w:val="333333"/>
          <w:kern w:val="0"/>
          <w:sz w:val="32"/>
          <w:szCs w:val="32"/>
        </w:rPr>
        <w:t>万元；政协专项经费</w:t>
      </w:r>
      <w:r>
        <w:rPr>
          <w:rFonts w:eastAsia="仿宋_GB2312" w:cs="宋体"/>
          <w:color w:val="333333"/>
          <w:kern w:val="0"/>
          <w:sz w:val="32"/>
          <w:szCs w:val="32"/>
        </w:rPr>
        <w:t>62</w:t>
      </w:r>
      <w:r>
        <w:rPr>
          <w:rFonts w:ascii="仿宋_GB2312" w:eastAsia="仿宋_GB2312" w:hAnsi="宋体" w:cs="宋体"/>
          <w:color w:val="333333"/>
          <w:kern w:val="0"/>
          <w:sz w:val="32"/>
          <w:szCs w:val="32"/>
        </w:rPr>
        <w:t>万元；迎春茶话会增拨经费</w:t>
      </w:r>
      <w:r>
        <w:rPr>
          <w:rFonts w:eastAsia="仿宋_GB2312" w:cs="宋体"/>
          <w:color w:val="333333"/>
          <w:kern w:val="0"/>
          <w:sz w:val="32"/>
          <w:szCs w:val="32"/>
        </w:rPr>
        <w:t>39</w:t>
      </w:r>
      <w:r>
        <w:rPr>
          <w:rFonts w:ascii="仿宋_GB2312" w:eastAsia="仿宋_GB2312" w:hAnsi="宋体" w:cs="宋体"/>
          <w:color w:val="333333"/>
          <w:kern w:val="0"/>
          <w:sz w:val="32"/>
          <w:szCs w:val="32"/>
        </w:rPr>
        <w:t>.</w:t>
      </w:r>
      <w:r>
        <w:rPr>
          <w:rFonts w:eastAsia="仿宋_GB2312" w:cs="宋体"/>
          <w:color w:val="333333"/>
          <w:kern w:val="0"/>
          <w:sz w:val="32"/>
          <w:szCs w:val="32"/>
        </w:rPr>
        <w:t>24</w:t>
      </w:r>
      <w:r>
        <w:rPr>
          <w:rFonts w:ascii="仿宋_GB2312" w:eastAsia="仿宋_GB2312" w:hAnsi="宋体" w:cs="宋体"/>
          <w:color w:val="333333"/>
          <w:kern w:val="0"/>
          <w:sz w:val="32"/>
          <w:szCs w:val="32"/>
        </w:rPr>
        <w:t>万元。</w:t>
      </w:r>
    </w:p>
    <w:p w:rsidR="003E291C" w:rsidRDefault="003E291C" w:rsidP="003E291C">
      <w:pPr>
        <w:snapToGrid w:val="0"/>
        <w:spacing w:line="600" w:lineRule="exact"/>
        <w:ind w:firstLineChars="200" w:firstLine="640"/>
        <w:rPr>
          <w:rFonts w:ascii="仿宋_GB2312" w:eastAsia="仿宋_GB2312"/>
          <w:sz w:val="32"/>
          <w:szCs w:val="32"/>
        </w:rPr>
      </w:pPr>
      <w:r>
        <w:rPr>
          <w:rFonts w:eastAsia="仿宋_GB2312"/>
          <w:sz w:val="32"/>
          <w:szCs w:val="32"/>
        </w:rPr>
        <w:t>3</w:t>
      </w:r>
      <w:r>
        <w:rPr>
          <w:rFonts w:ascii="仿宋_GB2312" w:eastAsia="仿宋_GB2312"/>
          <w:sz w:val="32"/>
          <w:szCs w:val="32"/>
        </w:rPr>
        <w:t>. 项目资金管理情况分析，主要包括管理制度、办法的制订及执行情况。</w:t>
      </w:r>
    </w:p>
    <w:p w:rsidR="003E291C" w:rsidRDefault="003E291C" w:rsidP="003E291C">
      <w:pPr>
        <w:pStyle w:val="2"/>
        <w:snapToGrid w:val="0"/>
        <w:spacing w:line="600" w:lineRule="exact"/>
        <w:ind w:firstLine="640"/>
        <w:rPr>
          <w:szCs w:val="32"/>
        </w:rPr>
      </w:pPr>
      <w:r>
        <w:rPr>
          <w:rFonts w:hAnsi="仿宋"/>
          <w:szCs w:val="32"/>
        </w:rPr>
        <w:t>有关项目经费支出的业务由负责委办到财务科领取项目经费支出审批表，按要求填列并附项目预算明细报财务科核算，财</w:t>
      </w:r>
      <w:r>
        <w:rPr>
          <w:rFonts w:hAnsi="仿宋"/>
          <w:szCs w:val="32"/>
        </w:rPr>
        <w:lastRenderedPageBreak/>
        <w:t>务科核算后报分管财务的负责人初审再报秘书长审核，经秘书长审核后报分管副主席签署意见，再报</w:t>
      </w:r>
      <w:r>
        <w:rPr>
          <w:rFonts w:hAnsi="仿宋"/>
          <w:spacing w:val="-2"/>
          <w:szCs w:val="32"/>
        </w:rPr>
        <w:t>主管财务的常务副主席审批。</w:t>
      </w:r>
    </w:p>
    <w:p w:rsidR="003E291C" w:rsidRDefault="003E291C" w:rsidP="003E291C">
      <w:pPr>
        <w:snapToGrid w:val="0"/>
        <w:spacing w:line="600" w:lineRule="exact"/>
        <w:ind w:firstLineChars="200" w:firstLine="640"/>
        <w:rPr>
          <w:rFonts w:ascii="黑体" w:eastAsia="黑体" w:hAnsi="黑体"/>
          <w:sz w:val="32"/>
          <w:szCs w:val="32"/>
        </w:rPr>
      </w:pPr>
      <w:r>
        <w:rPr>
          <w:rFonts w:ascii="黑体" w:eastAsia="黑体" w:hAnsi="黑体"/>
          <w:sz w:val="32"/>
          <w:szCs w:val="32"/>
        </w:rPr>
        <w:t>三、部门项目组织实施情况</w:t>
      </w:r>
    </w:p>
    <w:p w:rsidR="003E291C" w:rsidRDefault="003E291C" w:rsidP="003E291C">
      <w:pPr>
        <w:snapToGrid w:val="0"/>
        <w:spacing w:line="600" w:lineRule="exact"/>
        <w:ind w:firstLineChars="200" w:firstLine="640"/>
        <w:rPr>
          <w:rFonts w:ascii="仿宋_GB2312" w:eastAsia="仿宋_GB2312"/>
          <w:sz w:val="32"/>
          <w:szCs w:val="32"/>
        </w:rPr>
      </w:pPr>
      <w:r>
        <w:rPr>
          <w:rFonts w:ascii="仿宋_GB2312" w:eastAsia="仿宋_GB2312"/>
          <w:sz w:val="32"/>
          <w:szCs w:val="32"/>
        </w:rPr>
        <w:t>（一）项目组织情况分析，主要包括项目招投标、调整、竣工验收等情况。</w:t>
      </w:r>
    </w:p>
    <w:p w:rsidR="003E291C" w:rsidRDefault="003E291C" w:rsidP="003E291C">
      <w:pPr>
        <w:snapToGrid w:val="0"/>
        <w:spacing w:line="600" w:lineRule="exact"/>
        <w:ind w:firstLineChars="200" w:firstLine="640"/>
        <w:textAlignment w:val="center"/>
        <w:rPr>
          <w:rFonts w:ascii="仿宋_GB2312" w:eastAsia="仿宋_GB2312" w:hAnsi="宋体" w:cs="宋体"/>
          <w:color w:val="333333"/>
          <w:kern w:val="0"/>
          <w:sz w:val="32"/>
          <w:szCs w:val="32"/>
        </w:rPr>
      </w:pPr>
      <w:r>
        <w:rPr>
          <w:rFonts w:ascii="仿宋_GB2312" w:eastAsia="仿宋_GB2312" w:hAnsi="宋体" w:cs="宋体"/>
          <w:color w:val="333333"/>
          <w:kern w:val="0"/>
          <w:sz w:val="32"/>
          <w:szCs w:val="32"/>
        </w:rPr>
        <w:t>宁乡历史文化利用推进委员会工作与民主评议及迎春茶话会及中秋联谊会经费</w:t>
      </w:r>
      <w:r>
        <w:rPr>
          <w:rFonts w:eastAsia="仿宋_GB2312" w:cs="宋体"/>
          <w:color w:val="333333"/>
          <w:kern w:val="0"/>
          <w:sz w:val="32"/>
          <w:szCs w:val="32"/>
        </w:rPr>
        <w:t>45</w:t>
      </w:r>
      <w:r>
        <w:rPr>
          <w:rFonts w:ascii="仿宋_GB2312" w:eastAsia="仿宋_GB2312" w:hAnsi="宋体" w:cs="宋体"/>
          <w:color w:val="333333"/>
          <w:kern w:val="0"/>
          <w:sz w:val="32"/>
          <w:szCs w:val="32"/>
        </w:rPr>
        <w:t>万元，本年度内开展的该项工作任务，按照预算进度和实际开展活动所发生的时间和金额支付；农工、民进、无党派经费支出</w:t>
      </w:r>
      <w:r>
        <w:rPr>
          <w:rFonts w:eastAsia="仿宋_GB2312" w:cs="宋体"/>
          <w:color w:val="333333"/>
          <w:kern w:val="0"/>
          <w:sz w:val="32"/>
          <w:szCs w:val="32"/>
        </w:rPr>
        <w:t>10</w:t>
      </w:r>
      <w:r>
        <w:rPr>
          <w:rFonts w:ascii="仿宋_GB2312" w:eastAsia="仿宋_GB2312" w:hAnsi="宋体" w:cs="宋体"/>
          <w:color w:val="333333"/>
          <w:kern w:val="0"/>
          <w:sz w:val="32"/>
          <w:szCs w:val="32"/>
        </w:rPr>
        <w:t>万元，按实际发生金额支出；政协全会经费</w:t>
      </w:r>
      <w:r>
        <w:rPr>
          <w:rFonts w:eastAsia="仿宋_GB2312" w:cs="宋体"/>
          <w:color w:val="333333"/>
          <w:kern w:val="0"/>
          <w:sz w:val="32"/>
          <w:szCs w:val="32"/>
        </w:rPr>
        <w:t>140</w:t>
      </w:r>
      <w:r>
        <w:rPr>
          <w:rFonts w:ascii="仿宋_GB2312" w:eastAsia="仿宋_GB2312" w:hAnsi="宋体" w:cs="宋体"/>
          <w:color w:val="333333"/>
          <w:kern w:val="0"/>
          <w:sz w:val="32"/>
          <w:szCs w:val="32"/>
        </w:rPr>
        <w:t>万元，以会议实际发生的费用办理支付；政协专项经费</w:t>
      </w:r>
      <w:r>
        <w:rPr>
          <w:rFonts w:eastAsia="仿宋_GB2312" w:cs="宋体"/>
          <w:color w:val="333333"/>
          <w:kern w:val="0"/>
          <w:sz w:val="32"/>
          <w:szCs w:val="32"/>
        </w:rPr>
        <w:t>62</w:t>
      </w:r>
      <w:r>
        <w:rPr>
          <w:rFonts w:ascii="仿宋_GB2312" w:eastAsia="仿宋_GB2312" w:hAnsi="宋体" w:cs="宋体"/>
          <w:color w:val="333333"/>
          <w:kern w:val="0"/>
          <w:sz w:val="32"/>
          <w:szCs w:val="32"/>
        </w:rPr>
        <w:t>万元，本年度内开展的该项工作任务，按照预算进度和实际开展活动所发生的时间和金额支付；迎春茶话会增拨经费</w:t>
      </w:r>
      <w:r>
        <w:rPr>
          <w:rFonts w:eastAsia="仿宋_GB2312" w:cs="宋体"/>
          <w:color w:val="333333"/>
          <w:kern w:val="0"/>
          <w:sz w:val="32"/>
          <w:szCs w:val="32"/>
        </w:rPr>
        <w:t>39</w:t>
      </w:r>
      <w:r>
        <w:rPr>
          <w:rFonts w:ascii="仿宋_GB2312" w:eastAsia="仿宋_GB2312" w:hAnsi="宋体" w:cs="宋体"/>
          <w:color w:val="333333"/>
          <w:kern w:val="0"/>
          <w:sz w:val="32"/>
          <w:szCs w:val="32"/>
        </w:rPr>
        <w:t>.</w:t>
      </w:r>
      <w:r>
        <w:rPr>
          <w:rFonts w:eastAsia="仿宋_GB2312" w:cs="宋体"/>
          <w:color w:val="333333"/>
          <w:kern w:val="0"/>
          <w:sz w:val="32"/>
          <w:szCs w:val="32"/>
        </w:rPr>
        <w:t>24</w:t>
      </w:r>
      <w:r>
        <w:rPr>
          <w:rFonts w:ascii="仿宋_GB2312" w:eastAsia="仿宋_GB2312" w:hAnsi="宋体" w:cs="宋体"/>
          <w:color w:val="333333"/>
          <w:kern w:val="0"/>
          <w:sz w:val="32"/>
          <w:szCs w:val="32"/>
        </w:rPr>
        <w:t>万元。</w:t>
      </w:r>
    </w:p>
    <w:p w:rsidR="003E291C" w:rsidRDefault="003E291C" w:rsidP="003E291C">
      <w:pPr>
        <w:snapToGrid w:val="0"/>
        <w:spacing w:line="600" w:lineRule="exact"/>
        <w:ind w:firstLineChars="200" w:firstLine="640"/>
        <w:rPr>
          <w:rFonts w:ascii="仿宋_GB2312" w:eastAsia="仿宋_GB2312" w:hAnsi="仿宋_GB2312" w:cs="仿宋_GB2312"/>
          <w:sz w:val="32"/>
          <w:szCs w:val="32"/>
        </w:rPr>
      </w:pPr>
      <w:r>
        <w:rPr>
          <w:rFonts w:ascii="仿宋_GB2312" w:eastAsia="仿宋_GB2312"/>
          <w:sz w:val="32"/>
          <w:szCs w:val="32"/>
        </w:rPr>
        <w:t>（二）项目管理情况分析，主要包括项目管理制度建设、日常检查监督管理等情况。</w:t>
      </w:r>
    </w:p>
    <w:p w:rsidR="003E291C" w:rsidRDefault="003E291C" w:rsidP="003E291C">
      <w:pPr>
        <w:snapToGrid w:val="0"/>
        <w:spacing w:line="600" w:lineRule="exact"/>
        <w:ind w:firstLineChars="200" w:firstLine="640"/>
        <w:textAlignment w:val="center"/>
        <w:rPr>
          <w:rFonts w:ascii="仿宋_GB2312" w:eastAsia="仿宋_GB2312" w:hAnsi="宋体" w:cs="宋体"/>
          <w:color w:val="333333"/>
          <w:kern w:val="0"/>
          <w:sz w:val="32"/>
          <w:szCs w:val="32"/>
        </w:rPr>
      </w:pPr>
      <w:r>
        <w:rPr>
          <w:rFonts w:eastAsia="仿宋_GB2312" w:cs="宋体"/>
          <w:color w:val="333333"/>
          <w:kern w:val="0"/>
          <w:sz w:val="32"/>
          <w:szCs w:val="32"/>
        </w:rPr>
        <w:t>2</w:t>
      </w:r>
      <w:r>
        <w:rPr>
          <w:rFonts w:ascii="仿宋_GB2312" w:eastAsia="仿宋_GB2312" w:hAnsi="宋体" w:cs="宋体"/>
          <w:color w:val="333333"/>
          <w:kern w:val="0"/>
          <w:sz w:val="32"/>
          <w:szCs w:val="32"/>
        </w:rPr>
        <w:t>宁乡历史文化利用推进委员会工作与民主评议及迎春茶话会及中秋联谊会经费</w:t>
      </w:r>
      <w:r>
        <w:rPr>
          <w:rFonts w:eastAsia="仿宋_GB2312" w:cs="宋体"/>
          <w:color w:val="333333"/>
          <w:kern w:val="0"/>
          <w:sz w:val="32"/>
          <w:szCs w:val="32"/>
        </w:rPr>
        <w:t>45</w:t>
      </w:r>
      <w:r>
        <w:rPr>
          <w:rFonts w:ascii="仿宋_GB2312" w:eastAsia="仿宋_GB2312" w:hAnsi="宋体" w:cs="宋体"/>
          <w:color w:val="333333"/>
          <w:kern w:val="0"/>
          <w:sz w:val="32"/>
          <w:szCs w:val="32"/>
        </w:rPr>
        <w:t>万元，本年度内开展的该项工作任务，进一步凝聚社会共识、团结各界力量，按实际发生支出审核支付；农工、民进、无党派经费支出</w:t>
      </w:r>
      <w:r>
        <w:rPr>
          <w:rFonts w:eastAsia="仿宋_GB2312" w:cs="宋体"/>
          <w:color w:val="333333"/>
          <w:kern w:val="0"/>
          <w:sz w:val="32"/>
          <w:szCs w:val="32"/>
        </w:rPr>
        <w:t>10</w:t>
      </w:r>
      <w:r>
        <w:rPr>
          <w:rFonts w:ascii="仿宋_GB2312" w:eastAsia="仿宋_GB2312" w:hAnsi="宋体" w:cs="宋体"/>
          <w:color w:val="333333"/>
          <w:kern w:val="0"/>
          <w:sz w:val="32"/>
          <w:szCs w:val="32"/>
        </w:rPr>
        <w:t>万元，按实际发生支出审核支付，团结各界人士，紧紧围绕市委战略</w:t>
      </w:r>
      <w:r w:rsidR="00D373D5">
        <w:rPr>
          <w:rFonts w:ascii="仿宋_GB2312" w:eastAsia="仿宋_GB2312" w:hAnsi="宋体" w:cs="宋体" w:hint="eastAsia"/>
          <w:color w:val="333333"/>
          <w:kern w:val="0"/>
          <w:sz w:val="32"/>
          <w:szCs w:val="32"/>
        </w:rPr>
        <w:t>部</w:t>
      </w:r>
      <w:r>
        <w:rPr>
          <w:rFonts w:ascii="仿宋_GB2312" w:eastAsia="仿宋_GB2312" w:hAnsi="宋体" w:cs="宋体"/>
          <w:color w:val="333333"/>
          <w:kern w:val="0"/>
          <w:sz w:val="32"/>
          <w:szCs w:val="32"/>
        </w:rPr>
        <w:t>署；政协全会经费</w:t>
      </w:r>
      <w:r>
        <w:rPr>
          <w:rFonts w:eastAsia="仿宋_GB2312" w:cs="宋体"/>
          <w:color w:val="333333"/>
          <w:kern w:val="0"/>
          <w:sz w:val="32"/>
          <w:szCs w:val="32"/>
        </w:rPr>
        <w:t>140</w:t>
      </w:r>
      <w:r>
        <w:rPr>
          <w:rFonts w:ascii="仿宋_GB2312" w:eastAsia="仿宋_GB2312" w:hAnsi="宋体" w:cs="宋体"/>
          <w:color w:val="333333"/>
          <w:kern w:val="0"/>
          <w:sz w:val="32"/>
          <w:szCs w:val="32"/>
        </w:rPr>
        <w:t>万元，按本年度召开的会议实际发生的费用审核支付；政协专项经费</w:t>
      </w:r>
      <w:r>
        <w:rPr>
          <w:rFonts w:eastAsia="仿宋_GB2312" w:cs="宋体"/>
          <w:color w:val="333333"/>
          <w:kern w:val="0"/>
          <w:sz w:val="32"/>
          <w:szCs w:val="32"/>
        </w:rPr>
        <w:t>62</w:t>
      </w:r>
      <w:r>
        <w:rPr>
          <w:rFonts w:ascii="仿宋_GB2312" w:eastAsia="仿宋_GB2312" w:hAnsi="宋体" w:cs="宋体"/>
          <w:color w:val="333333"/>
          <w:kern w:val="0"/>
          <w:sz w:val="32"/>
          <w:szCs w:val="32"/>
        </w:rPr>
        <w:t>万元，本年度内开展的该项工作任务，提升委员和政协工作者的政治理论素养和履职水平，按实际发生支出审核支付；</w:t>
      </w:r>
      <w:r>
        <w:rPr>
          <w:rFonts w:ascii="仿宋_GB2312" w:eastAsia="仿宋_GB2312" w:hAnsi="宋体" w:cs="宋体"/>
          <w:color w:val="333333"/>
          <w:kern w:val="0"/>
          <w:sz w:val="32"/>
          <w:szCs w:val="32"/>
        </w:rPr>
        <w:lastRenderedPageBreak/>
        <w:t>迎春茶话会增拨经费</w:t>
      </w:r>
      <w:r>
        <w:rPr>
          <w:rFonts w:eastAsia="仿宋_GB2312" w:cs="宋体"/>
          <w:color w:val="333333"/>
          <w:kern w:val="0"/>
          <w:sz w:val="32"/>
          <w:szCs w:val="32"/>
        </w:rPr>
        <w:t>39</w:t>
      </w:r>
      <w:r>
        <w:rPr>
          <w:rFonts w:ascii="仿宋_GB2312" w:eastAsia="仿宋_GB2312" w:hAnsi="宋体" w:cs="宋体"/>
          <w:color w:val="333333"/>
          <w:kern w:val="0"/>
          <w:sz w:val="32"/>
          <w:szCs w:val="32"/>
        </w:rPr>
        <w:t>.</w:t>
      </w:r>
      <w:r>
        <w:rPr>
          <w:rFonts w:eastAsia="仿宋_GB2312" w:cs="宋体"/>
          <w:color w:val="333333"/>
          <w:kern w:val="0"/>
          <w:sz w:val="32"/>
          <w:szCs w:val="32"/>
        </w:rPr>
        <w:t>24</w:t>
      </w:r>
      <w:r>
        <w:rPr>
          <w:rFonts w:ascii="仿宋_GB2312" w:eastAsia="仿宋_GB2312" w:hAnsi="宋体" w:cs="宋体"/>
          <w:color w:val="333333"/>
          <w:kern w:val="0"/>
          <w:sz w:val="32"/>
          <w:szCs w:val="32"/>
        </w:rPr>
        <w:t>万元（同上）。</w:t>
      </w:r>
    </w:p>
    <w:p w:rsidR="003E291C" w:rsidRDefault="003E291C" w:rsidP="003E291C">
      <w:pPr>
        <w:snapToGrid w:val="0"/>
        <w:spacing w:line="600" w:lineRule="exact"/>
        <w:ind w:firstLineChars="200" w:firstLine="640"/>
        <w:rPr>
          <w:rFonts w:ascii="黑体" w:eastAsia="黑体" w:hAnsi="黑体"/>
          <w:sz w:val="32"/>
          <w:szCs w:val="32"/>
        </w:rPr>
      </w:pPr>
      <w:r>
        <w:rPr>
          <w:rFonts w:ascii="黑体" w:eastAsia="黑体" w:hAnsi="黑体"/>
          <w:sz w:val="32"/>
          <w:szCs w:val="32"/>
        </w:rPr>
        <w:t>四、资产管理情况</w:t>
      </w:r>
    </w:p>
    <w:p w:rsidR="003E291C" w:rsidRDefault="003E291C" w:rsidP="003E291C">
      <w:pPr>
        <w:snapToGrid w:val="0"/>
        <w:spacing w:line="600" w:lineRule="exact"/>
        <w:ind w:firstLineChars="200" w:firstLine="640"/>
        <w:rPr>
          <w:rFonts w:ascii="仿宋_GB2312" w:eastAsia="仿宋_GB2312" w:hAnsi="Calibri"/>
          <w:sz w:val="32"/>
          <w:szCs w:val="32"/>
        </w:rPr>
      </w:pPr>
      <w:r>
        <w:rPr>
          <w:rFonts w:ascii="仿宋_GB2312" w:eastAsia="仿宋_GB2312"/>
          <w:sz w:val="32"/>
          <w:szCs w:val="32"/>
        </w:rPr>
        <w:t>我单位</w:t>
      </w:r>
      <w:r>
        <w:rPr>
          <w:rFonts w:eastAsia="仿宋_GB2312"/>
          <w:sz w:val="32"/>
          <w:szCs w:val="32"/>
        </w:rPr>
        <w:t>2020</w:t>
      </w:r>
      <w:r>
        <w:rPr>
          <w:rFonts w:ascii="仿宋_GB2312" w:eastAsia="仿宋_GB2312"/>
          <w:sz w:val="32"/>
          <w:szCs w:val="32"/>
        </w:rPr>
        <w:t>年年末资产总额</w:t>
      </w:r>
      <w:r>
        <w:rPr>
          <w:rFonts w:eastAsia="仿宋_GB2312"/>
          <w:sz w:val="32"/>
          <w:szCs w:val="32"/>
        </w:rPr>
        <w:t>687681</w:t>
      </w:r>
      <w:r>
        <w:rPr>
          <w:rFonts w:ascii="仿宋_GB2312" w:eastAsia="仿宋_GB2312"/>
          <w:sz w:val="32"/>
          <w:szCs w:val="32"/>
        </w:rPr>
        <w:t>.</w:t>
      </w:r>
      <w:r>
        <w:rPr>
          <w:rFonts w:eastAsia="仿宋_GB2312"/>
          <w:sz w:val="32"/>
          <w:szCs w:val="32"/>
        </w:rPr>
        <w:t>07</w:t>
      </w:r>
      <w:r>
        <w:rPr>
          <w:rFonts w:ascii="仿宋_GB2312" w:eastAsia="仿宋_GB2312"/>
          <w:sz w:val="32"/>
          <w:szCs w:val="32"/>
        </w:rPr>
        <w:t>元，其中流动资产总额</w:t>
      </w:r>
      <w:r>
        <w:rPr>
          <w:rFonts w:eastAsia="仿宋_GB2312"/>
          <w:sz w:val="32"/>
          <w:szCs w:val="32"/>
        </w:rPr>
        <w:t>332884</w:t>
      </w:r>
      <w:r>
        <w:rPr>
          <w:rFonts w:ascii="仿宋_GB2312" w:eastAsia="仿宋_GB2312"/>
          <w:sz w:val="32"/>
          <w:szCs w:val="32"/>
        </w:rPr>
        <w:t>.</w:t>
      </w:r>
      <w:r>
        <w:rPr>
          <w:rFonts w:eastAsia="仿宋_GB2312"/>
          <w:sz w:val="32"/>
          <w:szCs w:val="32"/>
        </w:rPr>
        <w:t>67</w:t>
      </w:r>
      <w:r>
        <w:rPr>
          <w:rFonts w:ascii="仿宋_GB2312" w:eastAsia="仿宋_GB2312"/>
          <w:sz w:val="32"/>
          <w:szCs w:val="32"/>
        </w:rPr>
        <w:t>元、固定资产总额</w:t>
      </w:r>
      <w:r>
        <w:rPr>
          <w:rFonts w:eastAsia="仿宋_GB2312"/>
          <w:sz w:val="32"/>
          <w:szCs w:val="32"/>
        </w:rPr>
        <w:t>354796</w:t>
      </w:r>
      <w:r>
        <w:rPr>
          <w:rFonts w:ascii="仿宋_GB2312" w:eastAsia="仿宋_GB2312"/>
          <w:sz w:val="32"/>
          <w:szCs w:val="32"/>
        </w:rPr>
        <w:t>.</w:t>
      </w:r>
      <w:r>
        <w:rPr>
          <w:rFonts w:eastAsia="仿宋_GB2312"/>
          <w:sz w:val="32"/>
          <w:szCs w:val="32"/>
        </w:rPr>
        <w:t>40</w:t>
      </w:r>
      <w:r>
        <w:rPr>
          <w:rFonts w:ascii="仿宋_GB2312" w:eastAsia="仿宋_GB2312"/>
          <w:sz w:val="32"/>
          <w:szCs w:val="32"/>
        </w:rPr>
        <w:t>元。</w:t>
      </w:r>
      <w:r>
        <w:rPr>
          <w:rFonts w:ascii="仿宋_GB2312" w:eastAsia="仿宋_GB2312" w:hAnsi="楷体"/>
          <w:sz w:val="32"/>
          <w:szCs w:val="32"/>
        </w:rPr>
        <w:t>所有资产已经由使用人实名登记，本着谁使用谁负责的原则，落实到人，如果使用过程中出现问题，造成丢失、损坏等情况将由使用人负责。同时，对于新购进资产及时进行调拨和账务处理，保证了账实相符。</w:t>
      </w:r>
      <w:r>
        <w:rPr>
          <w:rFonts w:ascii="仿宋_GB2312" w:eastAsia="仿宋_GB2312" w:hAnsi="微软雅黑"/>
          <w:color w:val="000000"/>
          <w:sz w:val="32"/>
          <w:szCs w:val="32"/>
        </w:rPr>
        <w:t>严格按照国家资产管理和有关财务、会计的相关制度规定，遵循资产管理与预算管理相结合、资产管理与财务管理相结合、实物管理与价值管理相结合的原则，完善资产管理内部控制体系。</w:t>
      </w:r>
    </w:p>
    <w:p w:rsidR="003E291C" w:rsidRDefault="003E291C" w:rsidP="003E291C">
      <w:pPr>
        <w:snapToGrid w:val="0"/>
        <w:spacing w:line="600" w:lineRule="exact"/>
        <w:ind w:firstLineChars="200" w:firstLine="640"/>
        <w:rPr>
          <w:rFonts w:ascii="黑体" w:eastAsia="黑体" w:hAnsi="黑体"/>
          <w:sz w:val="32"/>
          <w:szCs w:val="32"/>
        </w:rPr>
      </w:pPr>
      <w:r>
        <w:rPr>
          <w:rFonts w:ascii="黑体" w:eastAsia="黑体" w:hAnsi="黑体"/>
          <w:sz w:val="32"/>
          <w:szCs w:val="32"/>
        </w:rPr>
        <w:t>五、部门整体支出绩效情况</w:t>
      </w:r>
    </w:p>
    <w:p w:rsidR="003E291C" w:rsidRDefault="003E291C" w:rsidP="003E291C">
      <w:pPr>
        <w:pStyle w:val="2"/>
        <w:snapToGrid w:val="0"/>
        <w:spacing w:line="600" w:lineRule="exact"/>
        <w:ind w:firstLine="640"/>
      </w:pPr>
      <w:r>
        <w:t>全力服务大局，体现政协担当，加强自身建设，做好团结联谊。</w:t>
      </w:r>
    </w:p>
    <w:p w:rsidR="003E291C" w:rsidRDefault="003E291C" w:rsidP="003E291C">
      <w:pPr>
        <w:pStyle w:val="2"/>
        <w:snapToGrid w:val="0"/>
        <w:spacing w:line="600" w:lineRule="exact"/>
        <w:ind w:firstLine="640"/>
      </w:pPr>
      <w:r>
        <w:t>数量指标：年度工作任务完成率</w:t>
      </w:r>
      <w:r>
        <w:rPr>
          <w:rFonts w:ascii="Times New Roman"/>
        </w:rPr>
        <w:t>100</w:t>
      </w:r>
      <w:r>
        <w:t>%，预算执行率</w:t>
      </w:r>
      <w:r>
        <w:rPr>
          <w:rFonts w:ascii="Times New Roman"/>
        </w:rPr>
        <w:t>100</w:t>
      </w:r>
      <w:r>
        <w:t>%，政府采购执行率</w:t>
      </w:r>
      <w:r>
        <w:rPr>
          <w:rFonts w:ascii="Times New Roman"/>
        </w:rPr>
        <w:t>100</w:t>
      </w:r>
      <w:r>
        <w:t>%。</w:t>
      </w:r>
    </w:p>
    <w:p w:rsidR="003E291C" w:rsidRDefault="003E291C" w:rsidP="003E291C">
      <w:pPr>
        <w:pStyle w:val="2"/>
        <w:snapToGrid w:val="0"/>
        <w:spacing w:line="600" w:lineRule="exact"/>
        <w:ind w:firstLine="640"/>
      </w:pPr>
      <w:r>
        <w:t>质量指标：建立了固定资产管理制度，明确责任人管理并进行定期盘点。固定资产利用率</w:t>
      </w:r>
      <w:r>
        <w:rPr>
          <w:rFonts w:ascii="Times New Roman"/>
        </w:rPr>
        <w:t>100</w:t>
      </w:r>
      <w:r>
        <w:t>%。</w:t>
      </w:r>
    </w:p>
    <w:p w:rsidR="003E291C" w:rsidRDefault="003E291C" w:rsidP="003E291C">
      <w:pPr>
        <w:pStyle w:val="2"/>
        <w:snapToGrid w:val="0"/>
        <w:spacing w:line="600" w:lineRule="exact"/>
        <w:ind w:firstLine="640"/>
      </w:pPr>
      <w:r>
        <w:t>实效指标：一、二、三、四支付序时进度分别达到了</w:t>
      </w:r>
      <w:r>
        <w:rPr>
          <w:rFonts w:ascii="Times New Roman"/>
        </w:rPr>
        <w:t>20</w:t>
      </w:r>
      <w:r>
        <w:t>%、</w:t>
      </w:r>
      <w:r>
        <w:rPr>
          <w:rFonts w:ascii="Times New Roman"/>
        </w:rPr>
        <w:t>50</w:t>
      </w:r>
      <w:r>
        <w:t>%、</w:t>
      </w:r>
      <w:r>
        <w:rPr>
          <w:rFonts w:ascii="Times New Roman"/>
        </w:rPr>
        <w:t>80</w:t>
      </w:r>
      <w:r>
        <w:t>%、100%。</w:t>
      </w:r>
    </w:p>
    <w:p w:rsidR="003E291C" w:rsidRDefault="003E291C" w:rsidP="003E291C">
      <w:pPr>
        <w:pStyle w:val="2"/>
        <w:snapToGrid w:val="0"/>
        <w:spacing w:line="600" w:lineRule="exact"/>
        <w:ind w:firstLine="640"/>
      </w:pPr>
      <w:r>
        <w:t>成本指标：预算调整率</w:t>
      </w:r>
      <w:r>
        <w:t>≤</w:t>
      </w:r>
      <w:r>
        <w:rPr>
          <w:rFonts w:ascii="Times New Roman"/>
        </w:rPr>
        <w:t>10</w:t>
      </w:r>
      <w:r>
        <w:t>%，公用经费调整率</w:t>
      </w:r>
      <w:r>
        <w:t>≤</w:t>
      </w:r>
      <w:r>
        <w:rPr>
          <w:rFonts w:ascii="Times New Roman"/>
        </w:rPr>
        <w:t>100</w:t>
      </w:r>
      <w:r>
        <w:t>%，三公经费控制率</w:t>
      </w:r>
      <w:r>
        <w:t>≤</w:t>
      </w:r>
      <w:r>
        <w:rPr>
          <w:rFonts w:ascii="Times New Roman"/>
        </w:rPr>
        <w:t>100</w:t>
      </w:r>
      <w:r>
        <w:t>%，人员控制率</w:t>
      </w:r>
      <w:r>
        <w:t>≤</w:t>
      </w:r>
      <w:r>
        <w:rPr>
          <w:rFonts w:ascii="Times New Roman"/>
        </w:rPr>
        <w:t>100</w:t>
      </w:r>
      <w:r>
        <w:t>%。</w:t>
      </w:r>
    </w:p>
    <w:p w:rsidR="003E291C" w:rsidRDefault="003E291C" w:rsidP="003E291C">
      <w:pPr>
        <w:pStyle w:val="2"/>
        <w:snapToGrid w:val="0"/>
        <w:spacing w:line="600" w:lineRule="exact"/>
        <w:ind w:firstLine="640"/>
      </w:pPr>
      <w:r>
        <w:t>经济收益指标：基层协商亮点纷呈、专题议政务实有效、提案办理全程跟进、</w:t>
      </w:r>
      <w:r>
        <w:t>“</w:t>
      </w:r>
      <w:r>
        <w:t>云上</w:t>
      </w:r>
      <w:r>
        <w:t>”</w:t>
      </w:r>
      <w:r>
        <w:t>履职积极有为、文史底蕴不断丰富。</w:t>
      </w:r>
    </w:p>
    <w:p w:rsidR="003E291C" w:rsidRDefault="003E291C" w:rsidP="003E291C">
      <w:pPr>
        <w:pStyle w:val="2"/>
        <w:snapToGrid w:val="0"/>
        <w:spacing w:line="600" w:lineRule="exact"/>
        <w:ind w:firstLine="640"/>
      </w:pPr>
      <w:r>
        <w:lastRenderedPageBreak/>
        <w:t>社会效益指标：市政协办坚持在政协组织中发挥领导核心作用，把方向、管大局、保落实，认真学习、宣传、贯彻、执行党的理论和路线方针政策，牢牢把握政协系统意识形态的领导权、管理权、和话语权，推动政协工作始终保持正确政治方向，在围绕中心、服务大局的过程中为全市经济社会发展作出了应有贡献。</w:t>
      </w:r>
    </w:p>
    <w:p w:rsidR="003E291C" w:rsidRDefault="003E291C" w:rsidP="003E291C">
      <w:pPr>
        <w:pStyle w:val="2"/>
        <w:snapToGrid w:val="0"/>
        <w:spacing w:line="600" w:lineRule="exact"/>
        <w:ind w:firstLine="640"/>
      </w:pPr>
      <w:r>
        <w:t>生态效益指标：坚持政治站位，把握政协定位，坚持忠诚履职，彰显政协作为。</w:t>
      </w:r>
    </w:p>
    <w:p w:rsidR="003E291C" w:rsidRDefault="003E291C" w:rsidP="003E291C">
      <w:pPr>
        <w:pStyle w:val="2"/>
        <w:snapToGrid w:val="0"/>
        <w:spacing w:line="600" w:lineRule="exact"/>
        <w:ind w:firstLine="640"/>
      </w:pPr>
      <w:r>
        <w:t>可持续性影响指标：全力聚焦重大项目建设、奋勇助力营商环境优化、踊跃投身脱贫攻坚主战场。</w:t>
      </w:r>
    </w:p>
    <w:p w:rsidR="003E291C" w:rsidRDefault="003E291C" w:rsidP="003E291C">
      <w:pPr>
        <w:pStyle w:val="2"/>
        <w:snapToGrid w:val="0"/>
        <w:spacing w:line="600" w:lineRule="exact"/>
        <w:ind w:firstLine="640"/>
      </w:pPr>
      <w:r>
        <w:t>社会公众或服务对象满意度指标：全力服务大局，体现政协担当，加强自身建设，做好团结联谊。</w:t>
      </w:r>
    </w:p>
    <w:p w:rsidR="003E291C" w:rsidRDefault="003E291C" w:rsidP="003E291C">
      <w:pPr>
        <w:snapToGrid w:val="0"/>
        <w:spacing w:line="600" w:lineRule="exact"/>
        <w:ind w:firstLineChars="200" w:firstLine="640"/>
        <w:rPr>
          <w:rFonts w:ascii="黑体" w:eastAsia="黑体" w:hAnsi="黑体"/>
          <w:sz w:val="32"/>
          <w:szCs w:val="32"/>
        </w:rPr>
      </w:pPr>
      <w:r>
        <w:rPr>
          <w:rFonts w:ascii="黑体" w:eastAsia="黑体" w:hAnsi="黑体"/>
          <w:sz w:val="32"/>
          <w:szCs w:val="32"/>
        </w:rPr>
        <w:t>六、存在的主要问题</w:t>
      </w:r>
    </w:p>
    <w:p w:rsidR="003E291C" w:rsidRDefault="003E291C" w:rsidP="003E291C">
      <w:pPr>
        <w:snapToGrid w:val="0"/>
        <w:spacing w:line="600" w:lineRule="exact"/>
        <w:ind w:firstLineChars="200" w:firstLine="640"/>
        <w:rPr>
          <w:rFonts w:ascii="仿宋_GB2312" w:eastAsia="仿宋_GB2312" w:hAnsi="黑体"/>
          <w:sz w:val="32"/>
          <w:szCs w:val="32"/>
        </w:rPr>
      </w:pPr>
      <w:r>
        <w:rPr>
          <w:rFonts w:ascii="仿宋_GB2312" w:eastAsia="仿宋_GB2312" w:hAnsi="黑体"/>
          <w:sz w:val="32"/>
          <w:szCs w:val="32"/>
        </w:rPr>
        <w:t>我单位存在对以前年度新增资产录入不及时的问题。</w:t>
      </w:r>
    </w:p>
    <w:p w:rsidR="003E291C" w:rsidRDefault="003E291C" w:rsidP="003E291C">
      <w:pPr>
        <w:snapToGrid w:val="0"/>
        <w:spacing w:line="600" w:lineRule="exact"/>
        <w:ind w:firstLineChars="200" w:firstLine="640"/>
        <w:rPr>
          <w:rFonts w:ascii="黑体" w:eastAsia="黑体" w:hAnsi="黑体"/>
          <w:sz w:val="32"/>
          <w:szCs w:val="32"/>
        </w:rPr>
      </w:pPr>
      <w:r>
        <w:rPr>
          <w:rFonts w:ascii="黑体" w:eastAsia="黑体" w:hAnsi="黑体"/>
          <w:sz w:val="32"/>
          <w:szCs w:val="32"/>
        </w:rPr>
        <w:t>七、改进措施和有关建议</w:t>
      </w:r>
    </w:p>
    <w:p w:rsidR="003E291C" w:rsidRDefault="003E291C" w:rsidP="003E291C">
      <w:pPr>
        <w:snapToGrid w:val="0"/>
        <w:spacing w:line="600" w:lineRule="exact"/>
        <w:ind w:firstLineChars="200" w:firstLine="640"/>
        <w:rPr>
          <w:rFonts w:ascii="仿宋_GB2312" w:eastAsia="仿宋_GB2312" w:hAnsi="黑体"/>
          <w:sz w:val="32"/>
          <w:szCs w:val="32"/>
        </w:rPr>
      </w:pPr>
      <w:r>
        <w:rPr>
          <w:rFonts w:eastAsia="仿宋_GB2312"/>
          <w:sz w:val="32"/>
          <w:szCs w:val="32"/>
        </w:rPr>
        <w:t>2021</w:t>
      </w:r>
      <w:r>
        <w:rPr>
          <w:rFonts w:ascii="仿宋_GB2312" w:eastAsia="仿宋_GB2312" w:hAnsi="黑体"/>
          <w:sz w:val="32"/>
          <w:szCs w:val="32"/>
        </w:rPr>
        <w:t>年将对</w:t>
      </w:r>
      <w:r>
        <w:rPr>
          <w:rFonts w:eastAsia="仿宋_GB2312"/>
          <w:sz w:val="32"/>
          <w:szCs w:val="32"/>
        </w:rPr>
        <w:t>2017</w:t>
      </w:r>
      <w:r>
        <w:rPr>
          <w:rFonts w:ascii="仿宋_GB2312" w:eastAsia="仿宋_GB2312" w:hAnsi="黑体"/>
          <w:sz w:val="32"/>
          <w:szCs w:val="32"/>
        </w:rPr>
        <w:t>年以来新增的资产进行核实补录工作。</w:t>
      </w:r>
    </w:p>
    <w:p w:rsidR="003E291C" w:rsidRDefault="003E291C" w:rsidP="003E291C">
      <w:pPr>
        <w:snapToGrid w:val="0"/>
        <w:spacing w:line="600" w:lineRule="exact"/>
        <w:ind w:firstLineChars="200" w:firstLine="640"/>
        <w:rPr>
          <w:rFonts w:ascii="仿宋_GB2312" w:eastAsia="仿宋_GB2312"/>
          <w:sz w:val="32"/>
          <w:szCs w:val="32"/>
        </w:rPr>
      </w:pPr>
    </w:p>
    <w:p w:rsidR="009F3C70" w:rsidRPr="00BB0CE3" w:rsidRDefault="009F3C70" w:rsidP="00BB0CE3">
      <w:pPr>
        <w:snapToGrid w:val="0"/>
        <w:spacing w:line="600" w:lineRule="exact"/>
        <w:ind w:firstLineChars="200" w:firstLine="640"/>
        <w:rPr>
          <w:rFonts w:ascii="仿宋_GB2312" w:eastAsia="仿宋_GB2312"/>
          <w:sz w:val="32"/>
          <w:szCs w:val="32"/>
        </w:rPr>
      </w:pPr>
    </w:p>
    <w:sectPr w:rsidR="009F3C70" w:rsidRPr="00BB0CE3" w:rsidSect="00DE340C">
      <w:headerReference w:type="default" r:id="rId6"/>
      <w:footerReference w:type="even" r:id="rId7"/>
      <w:footerReference w:type="default" r:id="rId8"/>
      <w:pgSz w:w="11906" w:h="16838" w:code="9"/>
      <w:pgMar w:top="1474" w:right="1474" w:bottom="1474" w:left="1474" w:header="851" w:footer="1247" w:gutter="0"/>
      <w:cols w:space="720"/>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17F52" w:rsidRDefault="00617F52">
      <w:r>
        <w:separator/>
      </w:r>
    </w:p>
  </w:endnote>
  <w:endnote w:type="continuationSeparator" w:id="0">
    <w:p w:rsidR="00617F52" w:rsidRDefault="00617F5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仿宋_GB2312">
    <w:altName w:val="微软雅黑"/>
    <w:charset w:val="86"/>
    <w:family w:val="modern"/>
    <w:pitch w:val="fixed"/>
    <w:sig w:usb0="00000000"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方正小标宋简体">
    <w:altName w:val="微软雅黑"/>
    <w:charset w:val="86"/>
    <w:family w:val="auto"/>
    <w:pitch w:val="variable"/>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微软雅黑"/>
    <w:charset w:val="86"/>
    <w:family w:val="modern"/>
    <w:pitch w:val="fixed"/>
    <w:sig w:usb0="00000000"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楷体">
    <w:altName w:val="楷体_GB2312"/>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1C60" w:rsidRDefault="008042B0" w:rsidP="00E344E3">
    <w:pPr>
      <w:pStyle w:val="a5"/>
      <w:framePr w:wrap="around" w:vAnchor="text" w:hAnchor="margin" w:xAlign="outside" w:y="1"/>
      <w:rPr>
        <w:rStyle w:val="a9"/>
      </w:rPr>
    </w:pPr>
    <w:r>
      <w:rPr>
        <w:rStyle w:val="a9"/>
      </w:rPr>
      <w:fldChar w:fldCharType="begin"/>
    </w:r>
    <w:r w:rsidR="000B1C60">
      <w:rPr>
        <w:rStyle w:val="a9"/>
      </w:rPr>
      <w:instrText xml:space="preserve">PAGE  </w:instrText>
    </w:r>
    <w:r>
      <w:rPr>
        <w:rStyle w:val="a9"/>
      </w:rPr>
      <w:fldChar w:fldCharType="end"/>
    </w:r>
  </w:p>
  <w:p w:rsidR="000B1C60" w:rsidRDefault="000B1C60" w:rsidP="000B1C60">
    <w:pPr>
      <w:pStyle w:val="a5"/>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1C60" w:rsidRPr="000B1C60" w:rsidRDefault="000B1C60" w:rsidP="00E344E3">
    <w:pPr>
      <w:pStyle w:val="a5"/>
      <w:framePr w:wrap="around" w:vAnchor="text" w:hAnchor="margin" w:xAlign="outside" w:y="1"/>
      <w:rPr>
        <w:rStyle w:val="a9"/>
        <w:sz w:val="24"/>
        <w:szCs w:val="24"/>
      </w:rPr>
    </w:pPr>
    <w:r w:rsidRPr="000B1C60">
      <w:rPr>
        <w:rStyle w:val="a9"/>
        <w:sz w:val="24"/>
        <w:szCs w:val="24"/>
      </w:rPr>
      <w:t xml:space="preserve">— </w:t>
    </w:r>
    <w:r w:rsidR="008042B0" w:rsidRPr="000B1C60">
      <w:rPr>
        <w:rStyle w:val="a9"/>
        <w:sz w:val="24"/>
        <w:szCs w:val="24"/>
      </w:rPr>
      <w:fldChar w:fldCharType="begin"/>
    </w:r>
    <w:r w:rsidRPr="000B1C60">
      <w:rPr>
        <w:rStyle w:val="a9"/>
        <w:sz w:val="24"/>
        <w:szCs w:val="24"/>
      </w:rPr>
      <w:instrText xml:space="preserve">PAGE  </w:instrText>
    </w:r>
    <w:r w:rsidR="008042B0" w:rsidRPr="000B1C60">
      <w:rPr>
        <w:rStyle w:val="a9"/>
        <w:sz w:val="24"/>
        <w:szCs w:val="24"/>
      </w:rPr>
      <w:fldChar w:fldCharType="separate"/>
    </w:r>
    <w:r w:rsidR="00D373D5">
      <w:rPr>
        <w:rStyle w:val="a9"/>
        <w:noProof/>
        <w:sz w:val="24"/>
        <w:szCs w:val="24"/>
      </w:rPr>
      <w:t>3</w:t>
    </w:r>
    <w:r w:rsidR="008042B0" w:rsidRPr="000B1C60">
      <w:rPr>
        <w:rStyle w:val="a9"/>
        <w:sz w:val="24"/>
        <w:szCs w:val="24"/>
      </w:rPr>
      <w:fldChar w:fldCharType="end"/>
    </w:r>
    <w:r w:rsidRPr="000B1C60">
      <w:rPr>
        <w:rStyle w:val="a9"/>
        <w:sz w:val="24"/>
        <w:szCs w:val="24"/>
      </w:rPr>
      <w:t xml:space="preserve"> —</w:t>
    </w:r>
  </w:p>
  <w:p w:rsidR="000B1C60" w:rsidRDefault="000B1C60" w:rsidP="000B1C60">
    <w:pPr>
      <w:pStyle w:val="a5"/>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17F52" w:rsidRDefault="00617F52">
      <w:r>
        <w:separator/>
      </w:r>
    </w:p>
  </w:footnote>
  <w:footnote w:type="continuationSeparator" w:id="0">
    <w:p w:rsidR="00617F52" w:rsidRDefault="00617F5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82E08" w:rsidRDefault="00D82E08" w:rsidP="00242522">
    <w:pPr>
      <w:pStyle w:val="a4"/>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oNotTrackMoves/>
  <w:defaultTabStop w:val="420"/>
  <w:drawingGridHorizontalSpacing w:val="160"/>
  <w:drawingGridVerticalSpacing w:val="435"/>
  <w:displayHorizontalDrawingGridEvery w:val="0"/>
  <w:doNotShadeFormData/>
  <w:characterSpacingControl w:val="compressPunctuation"/>
  <w:doNotValidateAgainstSchema/>
  <w:doNotDemarcateInvalidXml/>
  <w:hdrShapeDefaults>
    <o:shapedefaults v:ext="edit" spidmax="2457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4C432A"/>
    <w:rsid w:val="00001C62"/>
    <w:rsid w:val="000034D4"/>
    <w:rsid w:val="00014EE0"/>
    <w:rsid w:val="000230D0"/>
    <w:rsid w:val="0002713A"/>
    <w:rsid w:val="00036C4F"/>
    <w:rsid w:val="00047C64"/>
    <w:rsid w:val="000553FB"/>
    <w:rsid w:val="00077FE0"/>
    <w:rsid w:val="000906E0"/>
    <w:rsid w:val="00090900"/>
    <w:rsid w:val="000925F7"/>
    <w:rsid w:val="0009578A"/>
    <w:rsid w:val="000972D4"/>
    <w:rsid w:val="000A16BD"/>
    <w:rsid w:val="000A4776"/>
    <w:rsid w:val="000B1C60"/>
    <w:rsid w:val="000B4EF6"/>
    <w:rsid w:val="000B719A"/>
    <w:rsid w:val="000C389F"/>
    <w:rsid w:val="000D05A1"/>
    <w:rsid w:val="000F0CAB"/>
    <w:rsid w:val="000F25F7"/>
    <w:rsid w:val="00121C5F"/>
    <w:rsid w:val="00123202"/>
    <w:rsid w:val="0013065A"/>
    <w:rsid w:val="00136463"/>
    <w:rsid w:val="00140A7E"/>
    <w:rsid w:val="001534F3"/>
    <w:rsid w:val="001561E7"/>
    <w:rsid w:val="00164882"/>
    <w:rsid w:val="00166C42"/>
    <w:rsid w:val="00170413"/>
    <w:rsid w:val="001725A8"/>
    <w:rsid w:val="00172A27"/>
    <w:rsid w:val="00190135"/>
    <w:rsid w:val="00196C3A"/>
    <w:rsid w:val="001A11DF"/>
    <w:rsid w:val="001B2F7F"/>
    <w:rsid w:val="001C2D89"/>
    <w:rsid w:val="001D3C4E"/>
    <w:rsid w:val="001E114A"/>
    <w:rsid w:val="001E3AF5"/>
    <w:rsid w:val="001E3C28"/>
    <w:rsid w:val="001E42F7"/>
    <w:rsid w:val="001E7A69"/>
    <w:rsid w:val="001F23E3"/>
    <w:rsid w:val="001F574B"/>
    <w:rsid w:val="00212572"/>
    <w:rsid w:val="0021730E"/>
    <w:rsid w:val="00224A0C"/>
    <w:rsid w:val="00242522"/>
    <w:rsid w:val="00250497"/>
    <w:rsid w:val="00254B51"/>
    <w:rsid w:val="00255740"/>
    <w:rsid w:val="00284800"/>
    <w:rsid w:val="0029318E"/>
    <w:rsid w:val="002B4F4D"/>
    <w:rsid w:val="002C5EE6"/>
    <w:rsid w:val="002D59C4"/>
    <w:rsid w:val="002E0A4F"/>
    <w:rsid w:val="002E0F54"/>
    <w:rsid w:val="002E1AF4"/>
    <w:rsid w:val="002E1CEE"/>
    <w:rsid w:val="00300180"/>
    <w:rsid w:val="0031440A"/>
    <w:rsid w:val="00315677"/>
    <w:rsid w:val="00315737"/>
    <w:rsid w:val="003232DD"/>
    <w:rsid w:val="003241BB"/>
    <w:rsid w:val="003410C3"/>
    <w:rsid w:val="003609E6"/>
    <w:rsid w:val="00362854"/>
    <w:rsid w:val="003664B1"/>
    <w:rsid w:val="00373459"/>
    <w:rsid w:val="003810D4"/>
    <w:rsid w:val="00387F28"/>
    <w:rsid w:val="003958FC"/>
    <w:rsid w:val="003B0B03"/>
    <w:rsid w:val="003B4350"/>
    <w:rsid w:val="003C0465"/>
    <w:rsid w:val="003C0E09"/>
    <w:rsid w:val="003C188D"/>
    <w:rsid w:val="003D0274"/>
    <w:rsid w:val="003E291C"/>
    <w:rsid w:val="003E2A6C"/>
    <w:rsid w:val="003E34D8"/>
    <w:rsid w:val="003F3ABA"/>
    <w:rsid w:val="003F6591"/>
    <w:rsid w:val="003F6CDF"/>
    <w:rsid w:val="003F7F1D"/>
    <w:rsid w:val="00400BC7"/>
    <w:rsid w:val="00411159"/>
    <w:rsid w:val="004136BE"/>
    <w:rsid w:val="004206C2"/>
    <w:rsid w:val="00423B02"/>
    <w:rsid w:val="0044248C"/>
    <w:rsid w:val="00447143"/>
    <w:rsid w:val="0046109C"/>
    <w:rsid w:val="004705F1"/>
    <w:rsid w:val="004722C6"/>
    <w:rsid w:val="00473A0D"/>
    <w:rsid w:val="00492926"/>
    <w:rsid w:val="004B4274"/>
    <w:rsid w:val="004B482D"/>
    <w:rsid w:val="004B71FF"/>
    <w:rsid w:val="004C432A"/>
    <w:rsid w:val="004D501B"/>
    <w:rsid w:val="004D7F9A"/>
    <w:rsid w:val="004E1A55"/>
    <w:rsid w:val="004E21D2"/>
    <w:rsid w:val="004E7EB1"/>
    <w:rsid w:val="005122AB"/>
    <w:rsid w:val="0053088E"/>
    <w:rsid w:val="00542BBF"/>
    <w:rsid w:val="00552D1D"/>
    <w:rsid w:val="0055555C"/>
    <w:rsid w:val="0056303C"/>
    <w:rsid w:val="00580A42"/>
    <w:rsid w:val="00582C26"/>
    <w:rsid w:val="005904B6"/>
    <w:rsid w:val="00593D1E"/>
    <w:rsid w:val="005A5501"/>
    <w:rsid w:val="005B79F2"/>
    <w:rsid w:val="005C0EC7"/>
    <w:rsid w:val="005C721B"/>
    <w:rsid w:val="005D290E"/>
    <w:rsid w:val="005D374B"/>
    <w:rsid w:val="005E25CE"/>
    <w:rsid w:val="006016DB"/>
    <w:rsid w:val="0060768F"/>
    <w:rsid w:val="0060772A"/>
    <w:rsid w:val="006102B5"/>
    <w:rsid w:val="00613BEF"/>
    <w:rsid w:val="00616137"/>
    <w:rsid w:val="00617F52"/>
    <w:rsid w:val="00625B69"/>
    <w:rsid w:val="0064029E"/>
    <w:rsid w:val="0064132F"/>
    <w:rsid w:val="0064161D"/>
    <w:rsid w:val="006417B9"/>
    <w:rsid w:val="006449BE"/>
    <w:rsid w:val="00654A90"/>
    <w:rsid w:val="0066409F"/>
    <w:rsid w:val="00671DF3"/>
    <w:rsid w:val="00687561"/>
    <w:rsid w:val="00694609"/>
    <w:rsid w:val="00694BC7"/>
    <w:rsid w:val="006A1D35"/>
    <w:rsid w:val="006B670B"/>
    <w:rsid w:val="006C760E"/>
    <w:rsid w:val="006D08FA"/>
    <w:rsid w:val="00700A36"/>
    <w:rsid w:val="00700C68"/>
    <w:rsid w:val="00704DCB"/>
    <w:rsid w:val="00727DAA"/>
    <w:rsid w:val="00750AE1"/>
    <w:rsid w:val="007522F3"/>
    <w:rsid w:val="00783124"/>
    <w:rsid w:val="00791CFD"/>
    <w:rsid w:val="00793C23"/>
    <w:rsid w:val="007958C5"/>
    <w:rsid w:val="00796F16"/>
    <w:rsid w:val="007A55FD"/>
    <w:rsid w:val="007A7503"/>
    <w:rsid w:val="007B0161"/>
    <w:rsid w:val="007B11E2"/>
    <w:rsid w:val="007D238D"/>
    <w:rsid w:val="008002FB"/>
    <w:rsid w:val="00801DEB"/>
    <w:rsid w:val="008042B0"/>
    <w:rsid w:val="00807437"/>
    <w:rsid w:val="00823704"/>
    <w:rsid w:val="00831F04"/>
    <w:rsid w:val="00833D5B"/>
    <w:rsid w:val="00837287"/>
    <w:rsid w:val="00845355"/>
    <w:rsid w:val="008525BE"/>
    <w:rsid w:val="0085555D"/>
    <w:rsid w:val="0087486A"/>
    <w:rsid w:val="0088072E"/>
    <w:rsid w:val="008B3A95"/>
    <w:rsid w:val="008B49F9"/>
    <w:rsid w:val="008B6FE4"/>
    <w:rsid w:val="008D39A3"/>
    <w:rsid w:val="008E38D4"/>
    <w:rsid w:val="008E3EC7"/>
    <w:rsid w:val="008F2B0C"/>
    <w:rsid w:val="00900792"/>
    <w:rsid w:val="00902764"/>
    <w:rsid w:val="009067CC"/>
    <w:rsid w:val="009155AA"/>
    <w:rsid w:val="00917E42"/>
    <w:rsid w:val="009562D6"/>
    <w:rsid w:val="00957520"/>
    <w:rsid w:val="00960B41"/>
    <w:rsid w:val="00973592"/>
    <w:rsid w:val="00974A59"/>
    <w:rsid w:val="00983529"/>
    <w:rsid w:val="00993641"/>
    <w:rsid w:val="00993D36"/>
    <w:rsid w:val="009A5ED8"/>
    <w:rsid w:val="009B239E"/>
    <w:rsid w:val="009B2A23"/>
    <w:rsid w:val="009B2E1C"/>
    <w:rsid w:val="009B3164"/>
    <w:rsid w:val="009B4A99"/>
    <w:rsid w:val="009B4B04"/>
    <w:rsid w:val="009D398F"/>
    <w:rsid w:val="009F09E0"/>
    <w:rsid w:val="009F192B"/>
    <w:rsid w:val="009F3C70"/>
    <w:rsid w:val="00A03483"/>
    <w:rsid w:val="00A03EAC"/>
    <w:rsid w:val="00A077D5"/>
    <w:rsid w:val="00A129D2"/>
    <w:rsid w:val="00A1495F"/>
    <w:rsid w:val="00A15E71"/>
    <w:rsid w:val="00A26D6B"/>
    <w:rsid w:val="00A27769"/>
    <w:rsid w:val="00A40284"/>
    <w:rsid w:val="00A4406D"/>
    <w:rsid w:val="00A44EF9"/>
    <w:rsid w:val="00A525D3"/>
    <w:rsid w:val="00A54397"/>
    <w:rsid w:val="00A55A12"/>
    <w:rsid w:val="00A6200D"/>
    <w:rsid w:val="00A63372"/>
    <w:rsid w:val="00A70780"/>
    <w:rsid w:val="00A76BE7"/>
    <w:rsid w:val="00A77399"/>
    <w:rsid w:val="00A80203"/>
    <w:rsid w:val="00A8070D"/>
    <w:rsid w:val="00A8598D"/>
    <w:rsid w:val="00A92F62"/>
    <w:rsid w:val="00A94F9F"/>
    <w:rsid w:val="00AA1B14"/>
    <w:rsid w:val="00AD276E"/>
    <w:rsid w:val="00AD4537"/>
    <w:rsid w:val="00AE12A4"/>
    <w:rsid w:val="00AF4AB9"/>
    <w:rsid w:val="00B17280"/>
    <w:rsid w:val="00B3378C"/>
    <w:rsid w:val="00B35C76"/>
    <w:rsid w:val="00B3769F"/>
    <w:rsid w:val="00B419D7"/>
    <w:rsid w:val="00B6188E"/>
    <w:rsid w:val="00B8113E"/>
    <w:rsid w:val="00B821C3"/>
    <w:rsid w:val="00B84E0E"/>
    <w:rsid w:val="00B87FD7"/>
    <w:rsid w:val="00BA3DD9"/>
    <w:rsid w:val="00BB0CE3"/>
    <w:rsid w:val="00BC6BC4"/>
    <w:rsid w:val="00BD6781"/>
    <w:rsid w:val="00C04479"/>
    <w:rsid w:val="00C10F23"/>
    <w:rsid w:val="00C11E2C"/>
    <w:rsid w:val="00C278E6"/>
    <w:rsid w:val="00C45E80"/>
    <w:rsid w:val="00C5004E"/>
    <w:rsid w:val="00C5451B"/>
    <w:rsid w:val="00C6613F"/>
    <w:rsid w:val="00C75D98"/>
    <w:rsid w:val="00C82AED"/>
    <w:rsid w:val="00C83181"/>
    <w:rsid w:val="00C86C22"/>
    <w:rsid w:val="00C93425"/>
    <w:rsid w:val="00C9563F"/>
    <w:rsid w:val="00CA278E"/>
    <w:rsid w:val="00CA62D2"/>
    <w:rsid w:val="00CB32F5"/>
    <w:rsid w:val="00CD6D74"/>
    <w:rsid w:val="00CE4A2A"/>
    <w:rsid w:val="00D01204"/>
    <w:rsid w:val="00D02CB3"/>
    <w:rsid w:val="00D06427"/>
    <w:rsid w:val="00D151C7"/>
    <w:rsid w:val="00D158E7"/>
    <w:rsid w:val="00D2061A"/>
    <w:rsid w:val="00D22A9B"/>
    <w:rsid w:val="00D3094C"/>
    <w:rsid w:val="00D32C0E"/>
    <w:rsid w:val="00D33974"/>
    <w:rsid w:val="00D36806"/>
    <w:rsid w:val="00D373D5"/>
    <w:rsid w:val="00D44A67"/>
    <w:rsid w:val="00D4709C"/>
    <w:rsid w:val="00D6093A"/>
    <w:rsid w:val="00D662F2"/>
    <w:rsid w:val="00D73B51"/>
    <w:rsid w:val="00D7666D"/>
    <w:rsid w:val="00D76689"/>
    <w:rsid w:val="00D82E08"/>
    <w:rsid w:val="00D97634"/>
    <w:rsid w:val="00D97AB1"/>
    <w:rsid w:val="00DA0029"/>
    <w:rsid w:val="00DD15CE"/>
    <w:rsid w:val="00DD4503"/>
    <w:rsid w:val="00DE340C"/>
    <w:rsid w:val="00DE67B8"/>
    <w:rsid w:val="00DF3D53"/>
    <w:rsid w:val="00E01AE1"/>
    <w:rsid w:val="00E06925"/>
    <w:rsid w:val="00E21244"/>
    <w:rsid w:val="00E22056"/>
    <w:rsid w:val="00E23A7D"/>
    <w:rsid w:val="00E26D3A"/>
    <w:rsid w:val="00E30403"/>
    <w:rsid w:val="00E3330A"/>
    <w:rsid w:val="00E344E3"/>
    <w:rsid w:val="00E40129"/>
    <w:rsid w:val="00E46A66"/>
    <w:rsid w:val="00E46EF9"/>
    <w:rsid w:val="00E47AAF"/>
    <w:rsid w:val="00E51661"/>
    <w:rsid w:val="00E52C00"/>
    <w:rsid w:val="00E53D0B"/>
    <w:rsid w:val="00E7348A"/>
    <w:rsid w:val="00E73F57"/>
    <w:rsid w:val="00E815A7"/>
    <w:rsid w:val="00E8223C"/>
    <w:rsid w:val="00E839B7"/>
    <w:rsid w:val="00E93EF3"/>
    <w:rsid w:val="00EA1A35"/>
    <w:rsid w:val="00EA2186"/>
    <w:rsid w:val="00EA7ED0"/>
    <w:rsid w:val="00EB3299"/>
    <w:rsid w:val="00ED471B"/>
    <w:rsid w:val="00EE6967"/>
    <w:rsid w:val="00EF699D"/>
    <w:rsid w:val="00F02FC4"/>
    <w:rsid w:val="00F032E3"/>
    <w:rsid w:val="00F053CD"/>
    <w:rsid w:val="00F21C91"/>
    <w:rsid w:val="00F33827"/>
    <w:rsid w:val="00F3421C"/>
    <w:rsid w:val="00F410FE"/>
    <w:rsid w:val="00F52E06"/>
    <w:rsid w:val="00F54220"/>
    <w:rsid w:val="00F6472E"/>
    <w:rsid w:val="00F701F8"/>
    <w:rsid w:val="00F71405"/>
    <w:rsid w:val="00F84750"/>
    <w:rsid w:val="00F92079"/>
    <w:rsid w:val="00F97B68"/>
    <w:rsid w:val="00FA454A"/>
    <w:rsid w:val="00FB577F"/>
    <w:rsid w:val="00FD7342"/>
    <w:rsid w:val="00FD7648"/>
    <w:rsid w:val="00FE4B33"/>
    <w:rsid w:val="00FF0CB6"/>
    <w:rsid w:val="00FF405C"/>
    <w:rsid w:val="014D21C1"/>
    <w:rsid w:val="0A0B2AAC"/>
    <w:rsid w:val="25377052"/>
    <w:rsid w:val="28244974"/>
    <w:rsid w:val="4D1236B0"/>
    <w:rsid w:val="4DEC1082"/>
    <w:rsid w:val="4E244FED"/>
    <w:rsid w:val="7B7657C8"/>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45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lsdException w:name="heading 2" w:uiPriority="9"/>
    <w:lsdException w:name="heading 3" w:semiHidden="0" w:uiPriority="0" w:unhideWhenUsed="0"/>
    <w:lsdException w:name="heading 4" w:uiPriority="9"/>
    <w:lsdException w:name="heading 5" w:uiPriority="9"/>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lsdException w:name="footer" w:semiHidden="0" w:uiPriority="0" w:unhideWhenUsed="0"/>
    <w:lsdException w:name="caption" w:uiPriority="35" w:qFormat="1"/>
    <w:lsdException w:name="Title" w:semiHidden="0" w:uiPriority="10" w:unhideWhenUsed="0" w:qFormat="1"/>
    <w:lsdException w:name="Default Paragraph Font" w:semiHidden="0" w:uiPriority="0" w:unhideWhenUsed="0"/>
    <w:lsdException w:name="Body Text Indent" w:semiHidden="0" w:unhideWhenUsed="0"/>
    <w:lsdException w:name="Subtitle" w:semiHidden="0" w:uiPriority="11" w:unhideWhenUsed="0" w:qFormat="1"/>
    <w:lsdException w:name="Body Text First Indent 2" w:semiHidden="0" w:unhideWhenUsed="0"/>
    <w:lsdException w:name="Strong" w:semiHidden="0" w:uiPriority="22" w:unhideWhenUsed="0"/>
    <w:lsdException w:name="Emphasis" w:semiHidden="0" w:uiPriority="0" w:unhideWhenUsed="0"/>
    <w:lsdException w:name="Normal (Web)" w:semiHidden="0" w:unhideWhenUsed="0"/>
    <w:lsdException w:name="Normal Table" w:semiHidden="0" w:uiPriority="0" w:unhideWhenUsed="0"/>
    <w:lsdException w:name="Balloon Text" w:uiPriority="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a">
    <w:name w:val="Normal"/>
    <w:qFormat/>
    <w:rsid w:val="003E291C"/>
    <w:pPr>
      <w:widowControl w:val="0"/>
      <w:jc w:val="both"/>
    </w:pPr>
    <w:rPr>
      <w:kern w:val="2"/>
      <w:sz w:val="21"/>
      <w:szCs w:val="24"/>
    </w:rPr>
  </w:style>
  <w:style w:type="paragraph" w:styleId="3">
    <w:name w:val="heading 3"/>
    <w:basedOn w:val="a"/>
    <w:next w:val="a"/>
    <w:link w:val="3Char"/>
    <w:rsid w:val="004B482D"/>
    <w:pPr>
      <w:widowControl/>
      <w:spacing w:before="100" w:beforeAutospacing="1" w:after="100" w:afterAutospacing="1"/>
      <w:jc w:val="left"/>
      <w:outlineLvl w:val="2"/>
    </w:pPr>
    <w:rPr>
      <w:rFonts w:ascii="宋体" w:hAnsi="宋体" w:cs="宋体"/>
      <w:b/>
      <w:kern w:val="0"/>
      <w:sz w:val="27"/>
      <w:szCs w:val="27"/>
    </w:rPr>
  </w:style>
  <w:style w:type="paragraph" w:styleId="6">
    <w:name w:val="heading 6"/>
    <w:basedOn w:val="a"/>
    <w:next w:val="a"/>
    <w:link w:val="6Char"/>
    <w:uiPriority w:val="9"/>
    <w:semiHidden/>
    <w:unhideWhenUsed/>
    <w:qFormat/>
    <w:rsid w:val="00DE340C"/>
    <w:pPr>
      <w:keepNext/>
      <w:keepLines/>
      <w:spacing w:before="240" w:after="64" w:line="320" w:lineRule="auto"/>
      <w:outlineLvl w:val="5"/>
    </w:pPr>
    <w:rPr>
      <w:rFonts w:ascii="Cambria" w:hAnsi="Cambria"/>
      <w:b/>
      <w:bCs/>
      <w:sz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rsid w:val="004B482D"/>
    <w:rPr>
      <w:rFonts w:ascii="Calibri" w:eastAsia="宋体" w:hAnsi="Calibri" w:cs="Times New Roman"/>
      <w:i/>
      <w:iCs/>
    </w:rPr>
  </w:style>
  <w:style w:type="character" w:customStyle="1" w:styleId="Char">
    <w:name w:val="页眉 Char"/>
    <w:basedOn w:val="a0"/>
    <w:link w:val="a4"/>
    <w:rsid w:val="004B482D"/>
    <w:rPr>
      <w:rFonts w:ascii="Calibri" w:eastAsia="宋体" w:hAnsi="Calibri" w:cs="Times New Roman"/>
      <w:sz w:val="18"/>
      <w:szCs w:val="18"/>
    </w:rPr>
  </w:style>
  <w:style w:type="character" w:customStyle="1" w:styleId="Char0">
    <w:name w:val="页脚 Char"/>
    <w:basedOn w:val="a0"/>
    <w:link w:val="a5"/>
    <w:rsid w:val="004B482D"/>
    <w:rPr>
      <w:rFonts w:ascii="Calibri" w:eastAsia="宋体" w:hAnsi="Calibri" w:cs="Times New Roman"/>
      <w:sz w:val="18"/>
      <w:szCs w:val="18"/>
    </w:rPr>
  </w:style>
  <w:style w:type="character" w:customStyle="1" w:styleId="apple-converted-space">
    <w:name w:val="apple-converted-space"/>
    <w:basedOn w:val="a0"/>
    <w:rsid w:val="004B482D"/>
  </w:style>
  <w:style w:type="character" w:customStyle="1" w:styleId="3Char">
    <w:name w:val="标题 3 Char"/>
    <w:basedOn w:val="a0"/>
    <w:link w:val="3"/>
    <w:rsid w:val="004B482D"/>
    <w:rPr>
      <w:rFonts w:ascii="宋体" w:eastAsia="宋体" w:hAnsi="宋体" w:cs="宋体"/>
      <w:b/>
      <w:bCs/>
      <w:sz w:val="27"/>
      <w:szCs w:val="27"/>
    </w:rPr>
  </w:style>
  <w:style w:type="paragraph" w:styleId="a6">
    <w:name w:val="Normal (Web)"/>
    <w:basedOn w:val="a"/>
    <w:uiPriority w:val="99"/>
    <w:rsid w:val="004B482D"/>
    <w:pPr>
      <w:spacing w:before="100" w:beforeAutospacing="1" w:after="100" w:afterAutospacing="1"/>
      <w:jc w:val="left"/>
    </w:pPr>
    <w:rPr>
      <w:kern w:val="0"/>
      <w:sz w:val="24"/>
    </w:rPr>
  </w:style>
  <w:style w:type="paragraph" w:styleId="a7">
    <w:name w:val="Body Text Indent"/>
    <w:basedOn w:val="a"/>
    <w:uiPriority w:val="99"/>
    <w:rsid w:val="004B482D"/>
    <w:pPr>
      <w:spacing w:after="120"/>
      <w:ind w:leftChars="200" w:left="420"/>
    </w:pPr>
  </w:style>
  <w:style w:type="paragraph" w:styleId="a4">
    <w:name w:val="header"/>
    <w:basedOn w:val="a"/>
    <w:link w:val="Char"/>
    <w:rsid w:val="004B482D"/>
    <w:pPr>
      <w:pBdr>
        <w:bottom w:val="single" w:sz="6" w:space="1" w:color="auto"/>
      </w:pBdr>
      <w:tabs>
        <w:tab w:val="center" w:pos="4153"/>
        <w:tab w:val="right" w:pos="8306"/>
      </w:tabs>
      <w:snapToGrid w:val="0"/>
      <w:jc w:val="center"/>
    </w:pPr>
    <w:rPr>
      <w:rFonts w:ascii="Calibri" w:hAnsi="Calibri"/>
      <w:sz w:val="18"/>
      <w:szCs w:val="18"/>
    </w:rPr>
  </w:style>
  <w:style w:type="paragraph" w:customStyle="1" w:styleId="Char1">
    <w:name w:val="Char"/>
    <w:basedOn w:val="a"/>
    <w:rsid w:val="004B482D"/>
    <w:rPr>
      <w:rFonts w:ascii="Calibri" w:hAnsi="Calibri"/>
      <w:szCs w:val="20"/>
    </w:rPr>
  </w:style>
  <w:style w:type="paragraph" w:customStyle="1" w:styleId="CharChar2CharCharCharChar">
    <w:name w:val="Char Char2 Char Char Char Char"/>
    <w:basedOn w:val="a"/>
    <w:rsid w:val="004B482D"/>
    <w:pPr>
      <w:spacing w:line="360" w:lineRule="auto"/>
    </w:pPr>
    <w:rPr>
      <w:rFonts w:ascii="Calibri" w:hAnsi="Calibri"/>
    </w:rPr>
  </w:style>
  <w:style w:type="paragraph" w:styleId="a5">
    <w:name w:val="footer"/>
    <w:basedOn w:val="a"/>
    <w:link w:val="Char0"/>
    <w:rsid w:val="004B482D"/>
    <w:pPr>
      <w:tabs>
        <w:tab w:val="center" w:pos="4140"/>
        <w:tab w:val="right" w:pos="8300"/>
      </w:tabs>
      <w:snapToGrid w:val="0"/>
      <w:jc w:val="left"/>
    </w:pPr>
    <w:rPr>
      <w:sz w:val="18"/>
      <w:szCs w:val="18"/>
    </w:rPr>
  </w:style>
  <w:style w:type="paragraph" w:customStyle="1" w:styleId="CharCharCharCharCharCharCharCharCharCharCharChar">
    <w:name w:val="Char Char Char Char Char Char Char Char Char Char Char Char"/>
    <w:basedOn w:val="a"/>
    <w:rsid w:val="004B482D"/>
    <w:pPr>
      <w:widowControl/>
      <w:spacing w:line="360" w:lineRule="auto"/>
      <w:ind w:firstLineChars="200" w:firstLine="200"/>
    </w:pPr>
    <w:rPr>
      <w:rFonts w:ascii="Calibri" w:hAnsi="Calibri"/>
      <w:szCs w:val="20"/>
    </w:rPr>
  </w:style>
  <w:style w:type="paragraph" w:styleId="a8">
    <w:name w:val="Balloon Text"/>
    <w:basedOn w:val="a"/>
    <w:semiHidden/>
    <w:rsid w:val="004B482D"/>
    <w:rPr>
      <w:sz w:val="18"/>
      <w:szCs w:val="18"/>
    </w:rPr>
  </w:style>
  <w:style w:type="paragraph" w:styleId="2">
    <w:name w:val="Body Text First Indent 2"/>
    <w:basedOn w:val="a7"/>
    <w:link w:val="2Char"/>
    <w:uiPriority w:val="99"/>
    <w:rsid w:val="004B482D"/>
    <w:pPr>
      <w:spacing w:after="0" w:line="660" w:lineRule="exact"/>
      <w:ind w:leftChars="0" w:left="0" w:firstLineChars="200" w:firstLine="420"/>
    </w:pPr>
    <w:rPr>
      <w:rFonts w:ascii="仿宋_GB2312" w:eastAsia="仿宋_GB2312"/>
      <w:sz w:val="32"/>
    </w:rPr>
  </w:style>
  <w:style w:type="paragraph" w:customStyle="1" w:styleId="Char10">
    <w:name w:val="Char1"/>
    <w:basedOn w:val="a"/>
    <w:rsid w:val="004B482D"/>
    <w:pPr>
      <w:widowControl/>
      <w:spacing w:after="160" w:line="240" w:lineRule="exact"/>
      <w:jc w:val="left"/>
    </w:pPr>
    <w:rPr>
      <w:rFonts w:ascii="Calibri" w:hAnsi="Calibri"/>
    </w:rPr>
  </w:style>
  <w:style w:type="paragraph" w:customStyle="1" w:styleId="Char2">
    <w:name w:val="Char"/>
    <w:basedOn w:val="a"/>
    <w:rsid w:val="004B482D"/>
    <w:rPr>
      <w:rFonts w:ascii="Tahoma" w:hAnsi="Tahoma"/>
      <w:sz w:val="24"/>
    </w:rPr>
  </w:style>
  <w:style w:type="character" w:styleId="a9">
    <w:name w:val="page number"/>
    <w:basedOn w:val="a0"/>
    <w:rsid w:val="000B1C60"/>
  </w:style>
  <w:style w:type="character" w:customStyle="1" w:styleId="6Char">
    <w:name w:val="标题 6 Char"/>
    <w:basedOn w:val="a0"/>
    <w:link w:val="6"/>
    <w:uiPriority w:val="9"/>
    <w:semiHidden/>
    <w:rsid w:val="00DE340C"/>
    <w:rPr>
      <w:rFonts w:ascii="Cambria" w:eastAsia="宋体" w:hAnsi="Cambria" w:cs="Times New Roman"/>
      <w:b/>
      <w:bCs/>
      <w:kern w:val="2"/>
      <w:sz w:val="24"/>
      <w:szCs w:val="24"/>
    </w:rPr>
  </w:style>
  <w:style w:type="paragraph" w:styleId="aa">
    <w:name w:val="Title"/>
    <w:basedOn w:val="a"/>
    <w:next w:val="a"/>
    <w:link w:val="Char3"/>
    <w:uiPriority w:val="10"/>
    <w:qFormat/>
    <w:rsid w:val="00DE340C"/>
    <w:pPr>
      <w:snapToGrid w:val="0"/>
      <w:spacing w:line="600" w:lineRule="exact"/>
      <w:jc w:val="center"/>
      <w:outlineLvl w:val="0"/>
    </w:pPr>
    <w:rPr>
      <w:rFonts w:ascii="Cambria" w:eastAsia="方正小标宋简体" w:hAnsi="Cambria"/>
      <w:bCs/>
      <w:sz w:val="44"/>
      <w:szCs w:val="32"/>
    </w:rPr>
  </w:style>
  <w:style w:type="character" w:customStyle="1" w:styleId="Char3">
    <w:name w:val="标题 Char"/>
    <w:basedOn w:val="a0"/>
    <w:link w:val="aa"/>
    <w:uiPriority w:val="10"/>
    <w:rsid w:val="00DE340C"/>
    <w:rPr>
      <w:rFonts w:ascii="Cambria" w:eastAsia="方正小标宋简体" w:hAnsi="Cambria" w:cs="Times New Roman"/>
      <w:bCs/>
      <w:kern w:val="2"/>
      <w:sz w:val="44"/>
      <w:szCs w:val="32"/>
    </w:rPr>
  </w:style>
  <w:style w:type="paragraph" w:styleId="ab">
    <w:name w:val="Subtitle"/>
    <w:basedOn w:val="a"/>
    <w:next w:val="a"/>
    <w:link w:val="Char4"/>
    <w:uiPriority w:val="11"/>
    <w:qFormat/>
    <w:rsid w:val="00DE340C"/>
    <w:pPr>
      <w:snapToGrid w:val="0"/>
      <w:spacing w:line="600" w:lineRule="exact"/>
      <w:ind w:firstLineChars="200" w:firstLine="200"/>
      <w:jc w:val="left"/>
      <w:outlineLvl w:val="1"/>
    </w:pPr>
    <w:rPr>
      <w:rFonts w:ascii="Cambria" w:eastAsia="黑体" w:hAnsi="Cambria"/>
      <w:bCs/>
      <w:kern w:val="28"/>
      <w:sz w:val="32"/>
      <w:szCs w:val="32"/>
    </w:rPr>
  </w:style>
  <w:style w:type="character" w:customStyle="1" w:styleId="Char4">
    <w:name w:val="副标题 Char"/>
    <w:basedOn w:val="a0"/>
    <w:link w:val="ab"/>
    <w:uiPriority w:val="11"/>
    <w:rsid w:val="00DE340C"/>
    <w:rPr>
      <w:rFonts w:ascii="Cambria" w:eastAsia="黑体" w:hAnsi="Cambria" w:cs="Times New Roman"/>
      <w:bCs/>
      <w:kern w:val="28"/>
      <w:sz w:val="32"/>
      <w:szCs w:val="32"/>
    </w:rPr>
  </w:style>
  <w:style w:type="character" w:customStyle="1" w:styleId="2Char">
    <w:name w:val="正文首行缩进 2 Char"/>
    <w:basedOn w:val="a0"/>
    <w:link w:val="2"/>
    <w:uiPriority w:val="99"/>
    <w:rsid w:val="003E291C"/>
    <w:rPr>
      <w:rFonts w:ascii="仿宋_GB2312" w:eastAsia="仿宋_GB2312"/>
      <w:kern w:val="2"/>
      <w:sz w:val="32"/>
      <w:szCs w:val="24"/>
    </w:rPr>
  </w:style>
</w:styles>
</file>

<file path=word/webSettings.xml><?xml version="1.0" encoding="utf-8"?>
<w:webSettings xmlns:r="http://schemas.openxmlformats.org/officeDocument/2006/relationships" xmlns:w="http://schemas.openxmlformats.org/wordprocessingml/2006/main">
  <w:divs>
    <w:div w:id="889221461">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372</Words>
  <Characters>2121</Characters>
  <Application>Microsoft Office Word</Application>
  <DocSecurity>0</DocSecurity>
  <Lines>17</Lines>
  <Paragraphs>4</Paragraphs>
  <ScaleCrop>false</ScaleCrop>
  <Company>Microsoft</Company>
  <LinksUpToDate>false</LinksUpToDate>
  <CharactersWithSpaces>2489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2017年政协党组工作汇报</dc:title>
  <dc:creator>罗鑫磊</dc:creator>
  <cp:lastModifiedBy>Administrator</cp:lastModifiedBy>
  <cp:revision>2</cp:revision>
  <cp:lastPrinted>2020-02-27T08:48:00Z</cp:lastPrinted>
  <dcterms:created xsi:type="dcterms:W3CDTF">2021-07-23T08:37:00Z</dcterms:created>
  <dcterms:modified xsi:type="dcterms:W3CDTF">2021-07-26T08:53:00Z</dcterms:modified>
</cp:coreProperties>
</file>