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中共宁乡市委政法委员会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整体支出</w:t>
      </w:r>
      <w:r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绩效评价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报告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FF0000"/>
          <w:kern w:val="0"/>
          <w:sz w:val="44"/>
          <w:szCs w:val="44"/>
        </w:rPr>
      </w:pP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一、部门概况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（一）部门基本情况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1.机构设置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我单位为全额拨款的行政单位，单位内设办公室、政工室、执法监督科、综治督导科、维稳指导科、反邪教协调科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个科室，下设</w:t>
      </w:r>
      <w:r>
        <w:rPr>
          <w:rFonts w:hint="eastAsia" w:eastAsia="仿宋_GB2312" w:cs="Times New Roman"/>
          <w:sz w:val="32"/>
          <w:szCs w:val="32"/>
          <w:lang w:eastAsia="zh-CN"/>
        </w:rPr>
        <w:t>社会治理服务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中心副科级事业单位。202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年末实有在职在编干部职工4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人，临聘人员1人，退休1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2.职能职责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党的路线、方针、政策和中央、省、市、宁乡市党委的部署，统一政法各部门的思想和行动；对全市政法工作做出全局性部署，并督促贯彻落实，组织和指导全市政法部门的领导班子建设和政法干部队伍建设；协助市委及组织部门考察、管理政法部门的领导干部；组织、协调和指导全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平安建设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工作，检查督促全市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平安建设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项措施和工作任务的落实；组织、协调和指导全市维护社会稳定工作；检查政法部门执行法律法规和党的路线方针政策的情况，研究制定完善严肃执法、落实党的方针政策的具体措施；支持和监督政法各部门各负其责，密切配合，严格执法，秉公办案；组织研究和协调有争议的重大疑难案件，督促和推动大案要案的查处工作，负责对政法部门执法监督工作的党内监督；组织推动政法战线的调查研究工作，针对政法工作出现的新情况、新问题，提出对策；指导检查乡镇（街道）及各部门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平安建设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工作；办理省、长沙市党委政法委、宁乡市委及市委领导交办的其他工作。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3.</w:t>
      </w:r>
      <w:r>
        <w:rPr>
          <w:rFonts w:hint="eastAsia" w:eastAsia="楷体_GB2312" w:cs="Times New Roman"/>
          <w:sz w:val="32"/>
          <w:szCs w:val="32"/>
          <w:lang w:eastAsia="zh-CN"/>
        </w:rPr>
        <w:t>重点工作计划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eastAsia" w:eastAsia="仿宋_GB2312" w:cs="Times New Roman"/>
          <w:sz w:val="32"/>
          <w:szCs w:val="40"/>
          <w:lang w:val="en-US" w:eastAsia="zh-CN"/>
        </w:rPr>
      </w:pPr>
      <w:r>
        <w:rPr>
          <w:rFonts w:hint="eastAsia" w:eastAsia="仿宋_GB2312" w:cs="Times New Roman"/>
          <w:sz w:val="32"/>
          <w:szCs w:val="40"/>
          <w:lang w:val="en-US" w:eastAsia="zh-CN"/>
        </w:rPr>
        <w:t>全面落实党对政法工作的绝对领导，坚决落实维护稳定的第一责任，着力建设更高水平的平安宁乡，全面建设更高水平的法治宁乡，全力服务高质量发展大局。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（二）部门整体支出规模、使用方向和主要内容、涉及范围等。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年整体支出为</w:t>
      </w:r>
      <w:r>
        <w:rPr>
          <w:rFonts w:hint="eastAsia" w:hAnsi="仿宋" w:eastAsia="仿宋"/>
          <w:sz w:val="32"/>
          <w:szCs w:val="32"/>
        </w:rPr>
        <w:t>1</w:t>
      </w:r>
      <w:r>
        <w:rPr>
          <w:rFonts w:hint="eastAsia" w:hAnsi="仿宋" w:eastAsia="仿宋"/>
          <w:sz w:val="32"/>
          <w:szCs w:val="32"/>
          <w:lang w:val="en-US" w:eastAsia="zh-CN"/>
        </w:rPr>
        <w:t>611.67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其中基本支出</w:t>
      </w:r>
      <w:r>
        <w:rPr>
          <w:rFonts w:hint="eastAsia" w:hAnsi="仿宋" w:eastAsia="仿宋"/>
          <w:sz w:val="32"/>
          <w:szCs w:val="32"/>
          <w:lang w:val="en-US" w:eastAsia="zh-CN"/>
        </w:rPr>
        <w:t>1187.82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万元、项目支出</w:t>
      </w:r>
      <w:r>
        <w:rPr>
          <w:rFonts w:hint="eastAsia" w:hAnsi="仿宋" w:eastAsia="仿宋"/>
          <w:sz w:val="32"/>
          <w:szCs w:val="32"/>
        </w:rPr>
        <w:t>4</w:t>
      </w:r>
      <w:r>
        <w:rPr>
          <w:rFonts w:hint="eastAsia" w:hAnsi="仿宋" w:eastAsia="仿宋"/>
          <w:sz w:val="32"/>
          <w:szCs w:val="32"/>
          <w:lang w:val="en-US" w:eastAsia="zh-CN"/>
        </w:rPr>
        <w:t>23</w:t>
      </w:r>
      <w:r>
        <w:rPr>
          <w:rFonts w:hint="eastAsia" w:hAnsi="仿宋" w:eastAsia="仿宋"/>
          <w:sz w:val="32"/>
          <w:szCs w:val="32"/>
        </w:rPr>
        <w:t>.</w:t>
      </w:r>
      <w:r>
        <w:rPr>
          <w:rFonts w:hint="eastAsia" w:hAnsi="仿宋" w:eastAsia="仿宋"/>
          <w:sz w:val="32"/>
          <w:szCs w:val="32"/>
          <w:lang w:val="en-US" w:eastAsia="zh-CN"/>
        </w:rPr>
        <w:t>85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基本支出是指保障单位机构正常运转、完成日常工作任务而发生的各项支出，包括用于基本工资、津贴补贴等人员经费以及办公费、印刷费、水电费、办公设备购置等日常公用经费；项目支出是综治维稳、市委政法工作会议、国安事务和司法救助金及预防青少年犯罪、铁路护路等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个项目，用于办公费、会议费、培训费、宣传费、司法救助、奖励金、劳务费及其他商品服务支出。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二、部门整体支出管理及使用情况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年整体支出为</w:t>
      </w:r>
      <w:r>
        <w:rPr>
          <w:rFonts w:hint="eastAsia" w:hAnsi="仿宋" w:eastAsia="仿宋"/>
          <w:sz w:val="32"/>
          <w:szCs w:val="32"/>
        </w:rPr>
        <w:t>1</w:t>
      </w:r>
      <w:r>
        <w:rPr>
          <w:rFonts w:hint="eastAsia" w:hAnsi="仿宋" w:eastAsia="仿宋"/>
          <w:sz w:val="32"/>
          <w:szCs w:val="32"/>
          <w:lang w:val="en-US" w:eastAsia="zh-CN"/>
        </w:rPr>
        <w:t>611.67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万元,具体情况如下:</w:t>
      </w:r>
    </w:p>
    <w:p>
      <w:pPr>
        <w:adjustRightInd w:val="0"/>
        <w:snapToGrid w:val="0"/>
        <w:spacing w:line="600" w:lineRule="exact"/>
        <w:ind w:firstLine="70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（一）基本支出：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年基本支出</w:t>
      </w:r>
      <w:r>
        <w:rPr>
          <w:rFonts w:hint="eastAsia" w:hAnsi="仿宋" w:eastAsia="仿宋"/>
          <w:sz w:val="32"/>
          <w:szCs w:val="32"/>
          <w:lang w:val="en-US" w:eastAsia="zh-CN"/>
        </w:rPr>
        <w:t>1187.82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万元，是指保障单位机构正常运转、完成日常工作任务而发生的各项支出，包括用于基本工资、津贴补贴等人员经费以及办公费、印刷费、水电费、办公设备购置等日常公用经费。其中人员经费</w:t>
      </w:r>
      <w:r>
        <w:rPr>
          <w:rFonts w:hint="eastAsia" w:hAnsi="仿宋" w:eastAsia="仿宋"/>
          <w:sz w:val="32"/>
          <w:szCs w:val="32"/>
          <w:lang w:val="en-US" w:eastAsia="zh-CN"/>
        </w:rPr>
        <w:t>1064</w:t>
      </w:r>
      <w:r>
        <w:rPr>
          <w:rFonts w:hint="eastAsia" w:hAnsi="仿宋" w:eastAsia="仿宋"/>
          <w:sz w:val="32"/>
          <w:szCs w:val="32"/>
        </w:rPr>
        <w:t>.</w:t>
      </w:r>
      <w:r>
        <w:rPr>
          <w:rFonts w:hint="eastAsia" w:hAnsi="仿宋" w:eastAsia="仿宋"/>
          <w:sz w:val="32"/>
          <w:szCs w:val="32"/>
          <w:lang w:val="en-US" w:eastAsia="zh-CN"/>
        </w:rPr>
        <w:t>76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万元、机关运行经费</w:t>
      </w:r>
      <w:r>
        <w:rPr>
          <w:rFonts w:hint="eastAsia" w:hAnsi="仿宋" w:eastAsia="仿宋"/>
          <w:sz w:val="32"/>
          <w:szCs w:val="32"/>
        </w:rPr>
        <w:t>1</w:t>
      </w:r>
      <w:r>
        <w:rPr>
          <w:rFonts w:hint="eastAsia" w:hAnsi="仿宋" w:eastAsia="仿宋"/>
          <w:sz w:val="32"/>
          <w:szCs w:val="32"/>
          <w:lang w:val="en-US" w:eastAsia="zh-CN"/>
        </w:rPr>
        <w:t>23</w:t>
      </w:r>
      <w:r>
        <w:rPr>
          <w:rFonts w:hint="eastAsia" w:hAnsi="仿宋" w:eastAsia="仿宋"/>
          <w:sz w:val="32"/>
          <w:szCs w:val="32"/>
        </w:rPr>
        <w:t>.</w:t>
      </w:r>
      <w:r>
        <w:rPr>
          <w:rFonts w:hint="eastAsia" w:hAnsi="仿宋" w:eastAsia="仿宋"/>
          <w:sz w:val="32"/>
          <w:szCs w:val="32"/>
          <w:lang w:val="en-US" w:eastAsia="zh-CN"/>
        </w:rPr>
        <w:t>06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（二）项目支出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年项目支出</w:t>
      </w:r>
      <w:r>
        <w:rPr>
          <w:rFonts w:hint="eastAsia" w:hAnsi="仿宋" w:eastAsia="仿宋"/>
          <w:sz w:val="32"/>
          <w:szCs w:val="32"/>
        </w:rPr>
        <w:t>4</w:t>
      </w:r>
      <w:r>
        <w:rPr>
          <w:rFonts w:hint="eastAsia" w:hAnsi="仿宋" w:eastAsia="仿宋"/>
          <w:sz w:val="32"/>
          <w:szCs w:val="32"/>
          <w:lang w:val="en-US" w:eastAsia="zh-CN"/>
        </w:rPr>
        <w:t>23</w:t>
      </w:r>
      <w:r>
        <w:rPr>
          <w:rFonts w:hint="eastAsia" w:hAnsi="仿宋" w:eastAsia="仿宋"/>
          <w:sz w:val="32"/>
          <w:szCs w:val="32"/>
        </w:rPr>
        <w:t>.</w:t>
      </w:r>
      <w:r>
        <w:rPr>
          <w:rFonts w:hint="eastAsia" w:hAnsi="仿宋" w:eastAsia="仿宋"/>
          <w:sz w:val="32"/>
          <w:szCs w:val="32"/>
          <w:lang w:val="en-US" w:eastAsia="zh-CN"/>
        </w:rPr>
        <w:t>85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万元。其中综治维稳工作项目支出2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万元，用于处理突发性和群体性事件，中华人民共和国成立70周年和全国、省、市两会驻点维稳劝返工作， 各特护期、敏感日安保维稳，平安建设、扫黑除恶、网格化管理等；市委政法工作会议项目支出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0万元，用于市委政法工作大会会议费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见义勇为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先进个人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奖励金等；国安事务、司法救助金及预防青少年犯罪项目支出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88.85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其中省、市司法救助增加58.85万元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用于国安工作日常工作、打击处理和信息情报系统，全市涉法涉诉困难户、重大交通事故受害者等实行司法救助，全市青少年犯罪预防宣传等；铁路护路项目支出40万元，用于有奖护路责任户补助、铁路护路员用具及铁路沿线宣传等；教育转化、防控经费项目支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万元是用于特殊人群教育转化和防控等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另追加精患监护人保险及奖励（以奖代补）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 资金管理情况分析及加强内部控制。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我委重视单位内部管理制度建设，加强财务管理，强化财务监督，增强法纪观念，遵守规章制度。为保证财务管理工作规范有序进行，202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我们进一步完善了相关财务管理的制度、规定，加强内部控制和监督。对各项资金的管理、经费收支审批等均做了明确规定，正确组织资金的筹集、调度和使用，债权债务及时结算、结清。各项经费支出实行限额把关、一支笔审批制度。强化制度执行。切实做好厉行节约工作，全面落实各项管理制度要求，努力降低行政成本。严格公务接待费、差旅费、会议费和培训费审核审批程序， “三公”经费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好地控制在预算范围之内。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三、部门项目组织实施情况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资金为专项经费的，全部用于专项工作。健全各项工作制度，严格执行机关财务管理制度，重大项目开支召开委务会研究。扫黑除恶、平安建设宣传、定点文印等，均通过政府采购，严格按照要求和程序进行采购。司法救助金是严格按照省级司法救助标准申报，层层把关审核，实行专款专用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四、资产管理情况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资产采购及管理分岗位负责，资产配置、管理、处置严格按照政府采购及资产管理办法程序办理。资产系统与会计账务的固定资产数据一致。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五、部门整体支出绩效情况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年，市委政法委严格执行国家财经法律法规和内部财务管理制度，管理规范，制度健全，财务开支合理。部门整体支出绩效情况如下：</w:t>
      </w:r>
    </w:p>
    <w:p>
      <w:pPr>
        <w:pStyle w:val="8"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经济效益评价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1.预算执行方面，严格按照年初预算执行，支出总额控制在预算总额之内；202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</w:t>
      </w:r>
      <w:r>
        <w:rPr>
          <w:rFonts w:hint="default" w:ascii="Times New Roman" w:hAnsi="Times New Roman" w:eastAsia="仿宋_GB2312" w:cs="Times New Roman"/>
          <w:sz w:val="30"/>
          <w:szCs w:val="30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三公”经费支出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0.6万元，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其中公务接待费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万元，接待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批次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56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人，比年初预算减少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24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万元，下降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97.6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%。比上年决算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1.05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万元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减少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了0.4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万元，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下降42.6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%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主要原因是因为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厉行节约、压减开支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。无公务用车购置费及运行维护费及因公出国境费用。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预算管理方面，严格执行预算管理的各项制度，制度执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总体较为有效。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（二）效率性评价和有效性评价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严格控制和规范管理经费支出，增强经费预算刚性，提高资金使用效益，财政资金做到了科学化、精细化管理，整体支出绩效目标完成较好。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（三）社会公众满意度评价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围绕群众反映最强烈的身边事，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在全市范围内部署开展了打击整治养老诈骗、“净校园 保安宁”、诉源治理、婚恋家庭纠纷排查化解、防范精神障碍患者肇事肇祸等一系列专项行动，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着力解决人民群众反映强烈的问题。特别是在打击整治电信网络诈骗方面取得明显成效，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群众损失同比下降29.3%。</w:t>
      </w:r>
      <w:r>
        <w:rPr>
          <w:rFonts w:hint="eastAsia" w:eastAsia="仿宋_GB2312" w:cs="Times New Roman"/>
          <w:b w:val="0"/>
          <w:bCs w:val="0"/>
          <w:sz w:val="32"/>
          <w:szCs w:val="32"/>
          <w:lang w:val="en-US" w:eastAsia="zh-CN"/>
        </w:rPr>
        <w:t>通过专项行动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有效地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提升了人民群众的安全感和满意度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我市获评全省平安建设先进县市区</w:t>
      </w:r>
      <w:r>
        <w:rPr>
          <w:rFonts w:hint="eastAsia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全省平安县市区</w:t>
      </w:r>
      <w:r>
        <w:rPr>
          <w:rFonts w:hint="eastAsia" w:eastAsia="仿宋_GB2312" w:cs="Times New Roman"/>
          <w:sz w:val="32"/>
          <w:lang w:val="en-US" w:eastAsia="zh-CN"/>
        </w:rPr>
        <w:t>，长沙市平安建设红旗县市区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六、存在的主要问题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人员经费中的社会保障经费预算不足，要通过其他公用经费来调节。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七、改进措施和有关建议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 强化预算执行，提高预算完成率。严格按项目和进度执行预算，合理安排资金支出，增强预算执行的规范性和严肃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。加强预算的执行进度，减少存量资金，切实提高预算完成率及资金使用效率。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加强学习，规范部门收支核算，及时了解预算执行差异，合理调整、纠正预算偏差，切实提高部门预算收支管理水平，尽可能做到决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和预算的相统一。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701" w:right="1588" w:bottom="1440" w:left="1588" w:header="851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7441C3"/>
    <w:multiLevelType w:val="multilevel"/>
    <w:tmpl w:val="367441C3"/>
    <w:lvl w:ilvl="0" w:tentative="0">
      <w:start w:val="1"/>
      <w:numFmt w:val="japaneseCounting"/>
      <w:lvlText w:val="（%1）"/>
      <w:lvlJc w:val="left"/>
      <w:pPr>
        <w:ind w:left="1707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67" w:hanging="420"/>
      </w:pPr>
    </w:lvl>
    <w:lvl w:ilvl="2" w:tentative="0">
      <w:start w:val="1"/>
      <w:numFmt w:val="lowerRoman"/>
      <w:lvlText w:val="%3."/>
      <w:lvlJc w:val="right"/>
      <w:pPr>
        <w:ind w:left="1887" w:hanging="420"/>
      </w:pPr>
    </w:lvl>
    <w:lvl w:ilvl="3" w:tentative="0">
      <w:start w:val="1"/>
      <w:numFmt w:val="decimal"/>
      <w:lvlText w:val="%4."/>
      <w:lvlJc w:val="left"/>
      <w:pPr>
        <w:ind w:left="2307" w:hanging="420"/>
      </w:pPr>
    </w:lvl>
    <w:lvl w:ilvl="4" w:tentative="0">
      <w:start w:val="1"/>
      <w:numFmt w:val="lowerLetter"/>
      <w:lvlText w:val="%5)"/>
      <w:lvlJc w:val="left"/>
      <w:pPr>
        <w:ind w:left="2727" w:hanging="420"/>
      </w:pPr>
    </w:lvl>
    <w:lvl w:ilvl="5" w:tentative="0">
      <w:start w:val="1"/>
      <w:numFmt w:val="lowerRoman"/>
      <w:lvlText w:val="%6."/>
      <w:lvlJc w:val="right"/>
      <w:pPr>
        <w:ind w:left="3147" w:hanging="420"/>
      </w:pPr>
    </w:lvl>
    <w:lvl w:ilvl="6" w:tentative="0">
      <w:start w:val="1"/>
      <w:numFmt w:val="decimal"/>
      <w:lvlText w:val="%7."/>
      <w:lvlJc w:val="left"/>
      <w:pPr>
        <w:ind w:left="3567" w:hanging="420"/>
      </w:pPr>
    </w:lvl>
    <w:lvl w:ilvl="7" w:tentative="0">
      <w:start w:val="1"/>
      <w:numFmt w:val="lowerLetter"/>
      <w:lvlText w:val="%8)"/>
      <w:lvlJc w:val="left"/>
      <w:pPr>
        <w:ind w:left="3987" w:hanging="420"/>
      </w:pPr>
    </w:lvl>
    <w:lvl w:ilvl="8" w:tentative="0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YjgyZjBmYTA1YWQ3ZmRjNjE3M2U0NzRmMTE4YWIifQ=="/>
  </w:docVars>
  <w:rsids>
    <w:rsidRoot w:val="00603BC6"/>
    <w:rsid w:val="00017E1E"/>
    <w:rsid w:val="00040464"/>
    <w:rsid w:val="00236D97"/>
    <w:rsid w:val="003440B2"/>
    <w:rsid w:val="00413FC4"/>
    <w:rsid w:val="00424CE3"/>
    <w:rsid w:val="00603BC6"/>
    <w:rsid w:val="00987F50"/>
    <w:rsid w:val="00997383"/>
    <w:rsid w:val="00AA1A06"/>
    <w:rsid w:val="00AB20C1"/>
    <w:rsid w:val="00E43F40"/>
    <w:rsid w:val="00F73B2F"/>
    <w:rsid w:val="0C8F2C76"/>
    <w:rsid w:val="127001C5"/>
    <w:rsid w:val="16FB6BFB"/>
    <w:rsid w:val="1954439D"/>
    <w:rsid w:val="1A760A46"/>
    <w:rsid w:val="1A872550"/>
    <w:rsid w:val="1AA02E80"/>
    <w:rsid w:val="1C161DDD"/>
    <w:rsid w:val="1D79781E"/>
    <w:rsid w:val="1D8658B6"/>
    <w:rsid w:val="1F1F2DB4"/>
    <w:rsid w:val="20F471C7"/>
    <w:rsid w:val="224D69C6"/>
    <w:rsid w:val="227B0BEC"/>
    <w:rsid w:val="22A31EF1"/>
    <w:rsid w:val="23496ACF"/>
    <w:rsid w:val="24091B2B"/>
    <w:rsid w:val="243C05D1"/>
    <w:rsid w:val="2522528D"/>
    <w:rsid w:val="253B4663"/>
    <w:rsid w:val="29CA4207"/>
    <w:rsid w:val="2B8D373E"/>
    <w:rsid w:val="2CEF46B1"/>
    <w:rsid w:val="2D614E83"/>
    <w:rsid w:val="2E3D0EA5"/>
    <w:rsid w:val="2E8F1215"/>
    <w:rsid w:val="3082583C"/>
    <w:rsid w:val="30D053CB"/>
    <w:rsid w:val="32925070"/>
    <w:rsid w:val="38C5137A"/>
    <w:rsid w:val="39232E0D"/>
    <w:rsid w:val="39382F3B"/>
    <w:rsid w:val="393E1F41"/>
    <w:rsid w:val="39F50E2C"/>
    <w:rsid w:val="3A371445"/>
    <w:rsid w:val="40C90F41"/>
    <w:rsid w:val="43F9776B"/>
    <w:rsid w:val="44F3702B"/>
    <w:rsid w:val="45D90ECF"/>
    <w:rsid w:val="47B2035D"/>
    <w:rsid w:val="47B577B1"/>
    <w:rsid w:val="485D651B"/>
    <w:rsid w:val="48AA455C"/>
    <w:rsid w:val="48C77E38"/>
    <w:rsid w:val="48D569F9"/>
    <w:rsid w:val="4BF02924"/>
    <w:rsid w:val="4C7C4A62"/>
    <w:rsid w:val="4DB85F2C"/>
    <w:rsid w:val="4DBC1F35"/>
    <w:rsid w:val="5075461D"/>
    <w:rsid w:val="508036EE"/>
    <w:rsid w:val="52F7756C"/>
    <w:rsid w:val="53062C4A"/>
    <w:rsid w:val="54E53BE8"/>
    <w:rsid w:val="5CA50038"/>
    <w:rsid w:val="5FCF7634"/>
    <w:rsid w:val="5FD650D9"/>
    <w:rsid w:val="61333E65"/>
    <w:rsid w:val="6251329B"/>
    <w:rsid w:val="65AC12A1"/>
    <w:rsid w:val="66014531"/>
    <w:rsid w:val="6AB65D30"/>
    <w:rsid w:val="6AF34057"/>
    <w:rsid w:val="6AF6662F"/>
    <w:rsid w:val="6BBD0EFB"/>
    <w:rsid w:val="6D741A8D"/>
    <w:rsid w:val="6E0A419F"/>
    <w:rsid w:val="72F01BB6"/>
    <w:rsid w:val="75B2106D"/>
    <w:rsid w:val="7671300D"/>
    <w:rsid w:val="77B70EF4"/>
    <w:rsid w:val="77C7703C"/>
    <w:rsid w:val="78B2790D"/>
    <w:rsid w:val="7B6A25F4"/>
    <w:rsid w:val="7C2A3EBB"/>
    <w:rsid w:val="7C2F625A"/>
    <w:rsid w:val="7E053A96"/>
    <w:rsid w:val="7E6D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/>
    </w:p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Subtitle"/>
    <w:basedOn w:val="1"/>
    <w:next w:val="1"/>
    <w:qFormat/>
    <w:uiPriority w:val="99"/>
    <w:pPr>
      <w:widowControl/>
      <w:wordWrap w:val="0"/>
      <w:spacing w:after="60"/>
      <w:jc w:val="center"/>
    </w:pPr>
    <w:rPr>
      <w:kern w:val="0"/>
      <w:sz w:val="24"/>
      <w:szCs w:val="20"/>
    </w:rPr>
  </w:style>
  <w:style w:type="paragraph" w:styleId="5">
    <w:name w:val="Normal (Web)"/>
    <w:basedOn w:val="1"/>
    <w:next w:val="4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3392</Words>
  <Characters>3528</Characters>
  <Lines>29</Lines>
  <Paragraphs>8</Paragraphs>
  <TotalTime>61</TotalTime>
  <ScaleCrop>false</ScaleCrop>
  <LinksUpToDate>false</LinksUpToDate>
  <CharactersWithSpaces>3534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2021-07-09T07:13:00Z</dcterms:created>
  <dc:creator>xb21cn</dc:creator>
  <cp:lastModifiedBy>喻庆霞</cp:lastModifiedBy>
  <dcterms:modified xsi:type="dcterms:W3CDTF">2023-09-18T08:01:16Z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F696A074829544D3AF25D084F6054FD0_13</vt:lpwstr>
  </property>
</Properties>
</file>