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ascii="方正小标宋简体" w:hAnsi="黑体" w:eastAsia="方正小标宋简体" w:cs="黑体"/>
          <w:color w:val="000000" w:themeColor="text1"/>
          <w:kern w:val="0"/>
          <w:sz w:val="44"/>
          <w:szCs w:val="44"/>
          <w14:textFill>
            <w14:solidFill>
              <w14:schemeClr w14:val="tx1"/>
            </w14:solidFill>
          </w14:textFill>
        </w:rPr>
      </w:pPr>
      <w:bookmarkStart w:id="0" w:name="_GoBack"/>
      <w:bookmarkEnd w:id="0"/>
      <w:r>
        <w:rPr>
          <w:rFonts w:hint="eastAsia" w:ascii="方正小标宋简体" w:hAnsi="黑体" w:eastAsia="方正小标宋简体"/>
          <w:color w:val="000000" w:themeColor="text1"/>
          <w:kern w:val="0"/>
          <w:sz w:val="44"/>
          <w:szCs w:val="44"/>
          <w14:textFill>
            <w14:solidFill>
              <w14:schemeClr w14:val="tx1"/>
            </w14:solidFill>
          </w14:textFill>
        </w:rPr>
        <w:t>2020</w:t>
      </w:r>
      <w:r>
        <w:rPr>
          <w:rFonts w:hint="eastAsia" w:ascii="方正小标宋简体" w:hAnsi="黑体" w:eastAsia="方正小标宋简体" w:cs="黑体"/>
          <w:color w:val="000000" w:themeColor="text1"/>
          <w:kern w:val="0"/>
          <w:sz w:val="44"/>
          <w:szCs w:val="44"/>
          <w14:textFill>
            <w14:solidFill>
              <w14:schemeClr w14:val="tx1"/>
            </w14:solidFill>
          </w14:textFill>
        </w:rPr>
        <w:t>年度部门整体支出绩效评价报告</w:t>
      </w:r>
    </w:p>
    <w:p>
      <w:pPr>
        <w:adjustRightInd w:val="0"/>
        <w:snapToGrid w:val="0"/>
        <w:spacing w:line="600" w:lineRule="exact"/>
        <w:jc w:val="center"/>
        <w:rPr>
          <w:rFonts w:ascii="方正小标宋简体" w:hAnsi="黑体" w:eastAsia="方正小标宋简体" w:cs="黑体"/>
          <w:color w:val="FF0000"/>
          <w:kern w:val="0"/>
          <w:sz w:val="44"/>
          <w:szCs w:val="44"/>
        </w:rPr>
      </w:pPr>
    </w:p>
    <w:p>
      <w:pPr>
        <w:adjustRightInd w:val="0"/>
        <w:snapToGrid w:val="0"/>
        <w:spacing w:line="600" w:lineRule="exact"/>
        <w:ind w:firstLine="627" w:firstLineChars="196"/>
        <w:jc w:val="left"/>
        <w:rPr>
          <w:rFonts w:eastAsia="黑体"/>
          <w:bCs/>
          <w:sz w:val="32"/>
          <w:szCs w:val="32"/>
        </w:rPr>
      </w:pPr>
      <w:r>
        <w:rPr>
          <w:rFonts w:eastAsia="黑体"/>
          <w:bCs/>
          <w:sz w:val="32"/>
          <w:szCs w:val="32"/>
        </w:rPr>
        <w:t>一、部门概况</w:t>
      </w:r>
    </w:p>
    <w:p>
      <w:pPr>
        <w:adjustRightInd w:val="0"/>
        <w:snapToGrid w:val="0"/>
        <w:spacing w:line="600" w:lineRule="exact"/>
        <w:ind w:firstLine="640" w:firstLineChars="200"/>
        <w:rPr>
          <w:rFonts w:ascii="楷体_GB2312" w:eastAsia="楷体_GB2312"/>
          <w:sz w:val="32"/>
          <w:szCs w:val="32"/>
        </w:rPr>
      </w:pPr>
      <w:r>
        <w:rPr>
          <w:rFonts w:hint="eastAsia" w:ascii="楷体_GB2312" w:eastAsia="楷体_GB2312"/>
          <w:sz w:val="32"/>
          <w:szCs w:val="32"/>
        </w:rPr>
        <w:t>（一）部门基本情况</w:t>
      </w:r>
    </w:p>
    <w:p>
      <w:pPr>
        <w:adjustRightInd w:val="0"/>
        <w:snapToGrid w:val="0"/>
        <w:spacing w:line="60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1.机构设置</w:t>
      </w:r>
    </w:p>
    <w:p>
      <w:pPr>
        <w:adjustRightInd w:val="0"/>
        <w:snapToGrid w:val="0"/>
        <w:spacing w:line="600" w:lineRule="exact"/>
        <w:ind w:firstLine="640" w:firstLineChars="200"/>
        <w:rPr>
          <w:rFonts w:ascii="仿宋_GB2312" w:hAnsi="Calibri" w:eastAsia="仿宋_GB2312"/>
          <w:sz w:val="32"/>
          <w:szCs w:val="32"/>
        </w:rPr>
      </w:pPr>
      <w:r>
        <w:rPr>
          <w:rFonts w:hint="eastAsia" w:ascii="仿宋_GB2312" w:hAnsi="Calibri" w:eastAsia="仿宋_GB2312"/>
          <w:sz w:val="32"/>
          <w:szCs w:val="32"/>
        </w:rPr>
        <w:t>我单位为全额拨款的行政单位，单位内设办公室、政工室、执法监督科、综治督导科、维稳指导科、反邪教协调科5个科室，下设网格中心副科级事业单位。2020年末实有在职在编干部职工42人，临聘人员1人，退休11人。</w:t>
      </w:r>
    </w:p>
    <w:p>
      <w:pPr>
        <w:adjustRightInd w:val="0"/>
        <w:snapToGrid w:val="0"/>
        <w:spacing w:line="600" w:lineRule="exact"/>
        <w:ind w:firstLine="640" w:firstLineChars="200"/>
        <w:rPr>
          <w:rFonts w:ascii="黑体" w:hAnsi="Calibri" w:eastAsia="黑体"/>
          <w:sz w:val="32"/>
          <w:szCs w:val="32"/>
        </w:rPr>
      </w:pPr>
      <w:r>
        <w:rPr>
          <w:rFonts w:hint="eastAsia" w:ascii="楷体_GB2312" w:hAnsi="楷体_GB2312" w:eastAsia="楷体_GB2312" w:cs="楷体_GB2312"/>
          <w:sz w:val="32"/>
          <w:szCs w:val="32"/>
        </w:rPr>
        <w:t>2.职能职责</w:t>
      </w:r>
    </w:p>
    <w:p>
      <w:pPr>
        <w:widowControl/>
        <w:shd w:val="clear" w:color="auto" w:fill="FFFFFF"/>
        <w:adjustRightInd w:val="0"/>
        <w:snapToGri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根据党的路线、方针、政策和中央、省、长沙市、宁乡市党委的部署，统一政法各部门的思想和行动；对全市政法工作做出全局性部署，并督促贯彻落实，不断加强党对政法工作的领导；组织和指导全市政法部门的领导班子建设和政法干部队伍建设；协助市委及组织部门考察、管理政法部门的领导干部；组织、协调和指导全市社会治安综合治理工作，检查督促全市社会治安综合治理各项措施和工作任务的落实；组织、协调和指导全市维护社会稳定工作；检查政法部门执行法律法规和党的路线方针政策的情况，研究制定完善严肃执法、落实党的方针政策的具体措施；支持和监督政法各部门各负其责，密切配合，严格执法，秉公办案；组织研究和协调有争议的重大疑难案件，督促和推动大案要案的查处工作，负责对政法部门执法监督工作的党内监督；组织推动政法战线的调查研究工作，针对政法工作出现的新情况、新问题，提出对策；指导检查乡镇（街道）及各部门社会治安综合治理工作；办理省、长沙市党委政法委、宁乡市委及市委领导交办的其他工作。</w:t>
      </w:r>
    </w:p>
    <w:p>
      <w:pPr>
        <w:adjustRightInd w:val="0"/>
        <w:snapToGrid w:val="0"/>
        <w:spacing w:line="60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3.取</w:t>
      </w:r>
      <w:r>
        <w:rPr>
          <w:rFonts w:ascii="楷体_GB2312" w:hAnsi="楷体_GB2312" w:eastAsia="楷体_GB2312" w:cs="楷体_GB2312"/>
          <w:sz w:val="32"/>
          <w:szCs w:val="32"/>
        </w:rPr>
        <w:t>得的主要事业成效</w:t>
      </w:r>
    </w:p>
    <w:p>
      <w:pPr>
        <w:adjustRightInd w:val="0"/>
        <w:snapToGrid w:val="0"/>
        <w:spacing w:line="600" w:lineRule="exact"/>
        <w:ind w:firstLine="640" w:firstLineChars="200"/>
        <w:rPr>
          <w:rFonts w:ascii="仿宋_GB2312" w:eastAsia="仿宋_GB2312"/>
          <w:sz w:val="32"/>
          <w:szCs w:val="32"/>
        </w:rPr>
      </w:pPr>
      <w:r>
        <w:rPr>
          <w:rFonts w:ascii="仿宋_GB2312" w:eastAsia="仿宋_GB2312"/>
          <w:sz w:val="32"/>
          <w:szCs w:val="32"/>
        </w:rPr>
        <w:t>一是全力维护社会大局稳定</w:t>
      </w:r>
      <w:r>
        <w:rPr>
          <w:rFonts w:hint="eastAsia" w:ascii="仿宋_GB2312" w:eastAsia="仿宋_GB2312"/>
          <w:sz w:val="32"/>
          <w:szCs w:val="32"/>
        </w:rPr>
        <w:t>。</w:t>
      </w:r>
      <w:r>
        <w:rPr>
          <w:rFonts w:ascii="仿宋_GB2312" w:eastAsia="仿宋_GB2312"/>
          <w:sz w:val="32"/>
          <w:szCs w:val="32"/>
        </w:rPr>
        <w:t>圆</w:t>
      </w:r>
      <w:r>
        <w:rPr>
          <w:rFonts w:eastAsia="仿宋_GB2312"/>
          <w:sz w:val="32"/>
          <w:szCs w:val="32"/>
          <w:shd w:val="clear" w:color="auto" w:fill="FFFFFF"/>
        </w:rPr>
        <w:t>满完成了重要时间节点、重大活动、</w:t>
      </w:r>
      <w:r>
        <w:rPr>
          <w:rFonts w:hint="eastAsia" w:eastAsia="仿宋_GB2312"/>
          <w:sz w:val="32"/>
          <w:szCs w:val="32"/>
          <w:shd w:val="clear" w:color="auto" w:fill="FFFFFF"/>
          <w:lang w:eastAsia="zh-CN"/>
        </w:rPr>
        <w:t>全国两会</w:t>
      </w:r>
      <w:r>
        <w:rPr>
          <w:rFonts w:eastAsia="仿宋_GB2312"/>
          <w:sz w:val="32"/>
          <w:szCs w:val="32"/>
          <w:shd w:val="clear" w:color="auto" w:fill="FFFFFF"/>
        </w:rPr>
        <w:t>和</w:t>
      </w:r>
      <w:r>
        <w:rPr>
          <w:rFonts w:hint="eastAsia" w:eastAsia="仿宋_GB2312"/>
          <w:sz w:val="32"/>
          <w:szCs w:val="32"/>
          <w:shd w:val="clear" w:color="auto" w:fill="FFFFFF"/>
        </w:rPr>
        <w:t>党的</w:t>
      </w:r>
      <w:r>
        <w:rPr>
          <w:rFonts w:eastAsia="仿宋_GB2312"/>
          <w:sz w:val="32"/>
          <w:szCs w:val="32"/>
          <w:shd w:val="clear" w:color="auto" w:fill="FFFFFF"/>
        </w:rPr>
        <w:t>十九届五中全会期间</w:t>
      </w:r>
      <w:r>
        <w:rPr>
          <w:rFonts w:eastAsia="仿宋_GB2312"/>
          <w:sz w:val="32"/>
          <w:szCs w:val="32"/>
        </w:rPr>
        <w:t>的各项安保维稳任务。及时出台《关于做好新型冠状病毒感染的肺炎疫情防控期间社会稳定工作的九条意见》，</w:t>
      </w:r>
      <w:r>
        <w:rPr>
          <w:rFonts w:ascii="仿宋_GB2312" w:eastAsia="仿宋_GB2312"/>
          <w:sz w:val="32"/>
          <w:szCs w:val="32"/>
        </w:rPr>
        <w:t>为全市疫情防控工作有序开展和社会大局稳定提供有力保障。二是纵深推进扫黑除恶专项斗争</w:t>
      </w:r>
      <w:r>
        <w:rPr>
          <w:rFonts w:hint="eastAsia" w:ascii="仿宋_GB2312" w:eastAsia="仿宋_GB2312"/>
          <w:sz w:val="32"/>
          <w:szCs w:val="32"/>
        </w:rPr>
        <w:t>。</w:t>
      </w:r>
      <w:r>
        <w:rPr>
          <w:rFonts w:ascii="仿宋_GB2312" w:eastAsia="仿宋_GB2312"/>
          <w:sz w:val="32"/>
          <w:szCs w:val="32"/>
        </w:rPr>
        <w:t>扫黑除恶专项斗争开展以来，我市累</w:t>
      </w:r>
      <w:r>
        <w:rPr>
          <w:rFonts w:eastAsia="仿宋_GB2312"/>
          <w:sz w:val="32"/>
          <w:szCs w:val="32"/>
        </w:rPr>
        <w:t>计打掉</w:t>
      </w:r>
      <w:r>
        <w:rPr>
          <w:rFonts w:hint="eastAsia" w:eastAsia="仿宋_GB2312"/>
          <w:sz w:val="32"/>
          <w:szCs w:val="32"/>
        </w:rPr>
        <w:t>黑社会性质犯罪团伙2</w:t>
      </w:r>
      <w:r>
        <w:rPr>
          <w:rFonts w:eastAsia="仿宋_GB2312"/>
          <w:sz w:val="32"/>
          <w:szCs w:val="32"/>
        </w:rPr>
        <w:t>个、恶</w:t>
      </w:r>
      <w:r>
        <w:rPr>
          <w:rFonts w:hint="eastAsia" w:eastAsia="仿宋_GB2312"/>
          <w:sz w:val="32"/>
          <w:szCs w:val="32"/>
        </w:rPr>
        <w:t>势力</w:t>
      </w:r>
      <w:r>
        <w:rPr>
          <w:rFonts w:eastAsia="仿宋_GB2312"/>
          <w:sz w:val="32"/>
          <w:szCs w:val="32"/>
        </w:rPr>
        <w:t>犯罪集团</w:t>
      </w:r>
      <w:r>
        <w:rPr>
          <w:rFonts w:hint="eastAsia" w:eastAsia="仿宋_GB2312"/>
          <w:sz w:val="32"/>
          <w:szCs w:val="32"/>
        </w:rPr>
        <w:t>4</w:t>
      </w:r>
      <w:r>
        <w:rPr>
          <w:rFonts w:eastAsia="仿宋_GB2312"/>
          <w:sz w:val="32"/>
          <w:szCs w:val="32"/>
        </w:rPr>
        <w:t>个、恶势力</w:t>
      </w:r>
      <w:r>
        <w:rPr>
          <w:rFonts w:hint="eastAsia" w:eastAsia="仿宋_GB2312"/>
          <w:sz w:val="32"/>
          <w:szCs w:val="32"/>
        </w:rPr>
        <w:t>犯罪团伙</w:t>
      </w:r>
      <w:r>
        <w:rPr>
          <w:rFonts w:eastAsia="仿宋_GB2312"/>
          <w:sz w:val="32"/>
          <w:szCs w:val="32"/>
        </w:rPr>
        <w:t>13个。</w:t>
      </w:r>
      <w:r>
        <w:rPr>
          <w:rFonts w:eastAsia="仿宋_GB2312"/>
          <w:spacing w:val="4"/>
          <w:sz w:val="32"/>
          <w:szCs w:val="32"/>
        </w:rPr>
        <w:t>公安机关查封、扣押、冻结涉黑</w:t>
      </w:r>
      <w:r>
        <w:rPr>
          <w:rFonts w:hint="eastAsia" w:eastAsia="仿宋_GB2312"/>
          <w:spacing w:val="4"/>
          <w:sz w:val="32"/>
          <w:szCs w:val="32"/>
          <w:lang w:val="en-US" w:eastAsia="zh-CN"/>
        </w:rPr>
        <w:t>涉</w:t>
      </w:r>
      <w:r>
        <w:rPr>
          <w:rFonts w:eastAsia="仿宋_GB2312"/>
          <w:spacing w:val="4"/>
          <w:sz w:val="32"/>
          <w:szCs w:val="32"/>
        </w:rPr>
        <w:t>恶犯罪资产</w:t>
      </w:r>
      <w:r>
        <w:rPr>
          <w:rFonts w:hint="eastAsia" w:eastAsia="仿宋_GB2312"/>
          <w:spacing w:val="4"/>
          <w:sz w:val="32"/>
          <w:szCs w:val="32"/>
        </w:rPr>
        <w:t>3000余</w:t>
      </w:r>
      <w:r>
        <w:rPr>
          <w:rFonts w:eastAsia="仿宋_GB2312"/>
          <w:spacing w:val="4"/>
          <w:sz w:val="32"/>
          <w:szCs w:val="32"/>
        </w:rPr>
        <w:t>万元，法院判决罚金和没收非法所得应执行到位798.88万元</w:t>
      </w:r>
      <w:r>
        <w:rPr>
          <w:rFonts w:hint="eastAsia" w:eastAsia="仿宋_GB2312"/>
          <w:spacing w:val="4"/>
          <w:sz w:val="32"/>
          <w:szCs w:val="32"/>
        </w:rPr>
        <w:t>。2020年</w:t>
      </w:r>
      <w:r>
        <w:rPr>
          <w:rFonts w:eastAsia="仿宋_GB2312"/>
          <w:sz w:val="32"/>
          <w:szCs w:val="21"/>
          <w:shd w:val="clear" w:color="auto" w:fill="FFFFFF"/>
        </w:rPr>
        <w:t>，共立</w:t>
      </w:r>
      <w:r>
        <w:rPr>
          <w:rFonts w:hint="eastAsia" w:eastAsia="仿宋_GB2312"/>
          <w:sz w:val="32"/>
          <w:szCs w:val="21"/>
          <w:shd w:val="clear" w:color="auto" w:fill="FFFFFF"/>
        </w:rPr>
        <w:t>11类</w:t>
      </w:r>
      <w:r>
        <w:rPr>
          <w:rFonts w:eastAsia="仿宋_GB2312"/>
          <w:sz w:val="32"/>
          <w:szCs w:val="21"/>
          <w:shd w:val="clear" w:color="auto" w:fill="FFFFFF"/>
        </w:rPr>
        <w:t>涉黑涉恶案件1</w:t>
      </w:r>
      <w:r>
        <w:rPr>
          <w:rFonts w:hint="eastAsia" w:eastAsia="仿宋_GB2312"/>
          <w:sz w:val="32"/>
          <w:szCs w:val="21"/>
          <w:shd w:val="clear" w:color="auto" w:fill="FFFFFF"/>
        </w:rPr>
        <w:t>8</w:t>
      </w:r>
      <w:r>
        <w:rPr>
          <w:rFonts w:eastAsia="仿宋_GB2312"/>
          <w:sz w:val="32"/>
          <w:szCs w:val="21"/>
          <w:shd w:val="clear" w:color="auto" w:fill="FFFFFF"/>
        </w:rPr>
        <w:t>6起，破案1</w:t>
      </w:r>
      <w:r>
        <w:rPr>
          <w:rFonts w:hint="eastAsia" w:eastAsia="仿宋_GB2312"/>
          <w:sz w:val="32"/>
          <w:szCs w:val="21"/>
          <w:shd w:val="clear" w:color="auto" w:fill="FFFFFF"/>
        </w:rPr>
        <w:t>63</w:t>
      </w:r>
      <w:r>
        <w:rPr>
          <w:rFonts w:eastAsia="仿宋_GB2312"/>
          <w:sz w:val="32"/>
          <w:szCs w:val="21"/>
          <w:shd w:val="clear" w:color="auto" w:fill="FFFFFF"/>
        </w:rPr>
        <w:t>起，刑拘</w:t>
      </w:r>
      <w:r>
        <w:rPr>
          <w:rFonts w:hint="eastAsia" w:eastAsia="仿宋_GB2312"/>
          <w:sz w:val="32"/>
          <w:szCs w:val="21"/>
          <w:shd w:val="clear" w:color="auto" w:fill="FFFFFF"/>
        </w:rPr>
        <w:t>210</w:t>
      </w:r>
      <w:r>
        <w:rPr>
          <w:rFonts w:eastAsia="仿宋_GB2312"/>
          <w:sz w:val="32"/>
          <w:szCs w:val="21"/>
          <w:shd w:val="clear" w:color="auto" w:fill="FFFFFF"/>
        </w:rPr>
        <w:t>人，批捕1</w:t>
      </w:r>
      <w:r>
        <w:rPr>
          <w:rFonts w:hint="eastAsia" w:eastAsia="仿宋_GB2312"/>
          <w:sz w:val="32"/>
          <w:szCs w:val="21"/>
          <w:shd w:val="clear" w:color="auto" w:fill="FFFFFF"/>
        </w:rPr>
        <w:t>49</w:t>
      </w:r>
      <w:r>
        <w:rPr>
          <w:rFonts w:eastAsia="仿宋_GB2312"/>
          <w:sz w:val="32"/>
          <w:szCs w:val="21"/>
          <w:shd w:val="clear" w:color="auto" w:fill="FFFFFF"/>
        </w:rPr>
        <w:t>人，移送起诉2</w:t>
      </w:r>
      <w:r>
        <w:rPr>
          <w:rFonts w:hint="eastAsia" w:eastAsia="仿宋_GB2312"/>
          <w:sz w:val="32"/>
          <w:szCs w:val="21"/>
          <w:shd w:val="clear" w:color="auto" w:fill="FFFFFF"/>
        </w:rPr>
        <w:t>62</w:t>
      </w:r>
      <w:r>
        <w:rPr>
          <w:rFonts w:eastAsia="仿宋_GB2312"/>
          <w:sz w:val="32"/>
          <w:szCs w:val="21"/>
          <w:shd w:val="clear" w:color="auto" w:fill="FFFFFF"/>
        </w:rPr>
        <w:t>人，共打掉</w:t>
      </w:r>
      <w:r>
        <w:rPr>
          <w:rFonts w:hint="eastAsia" w:eastAsia="仿宋_GB2312"/>
          <w:sz w:val="32"/>
          <w:szCs w:val="32"/>
        </w:rPr>
        <w:t>黑社会性质犯罪团伙1个，</w:t>
      </w:r>
      <w:r>
        <w:rPr>
          <w:rFonts w:eastAsia="仿宋_GB2312"/>
          <w:sz w:val="32"/>
          <w:szCs w:val="21"/>
          <w:shd w:val="clear" w:color="auto" w:fill="FFFFFF"/>
        </w:rPr>
        <w:t>恶</w:t>
      </w:r>
      <w:r>
        <w:rPr>
          <w:rFonts w:hint="eastAsia" w:eastAsia="仿宋_GB2312"/>
          <w:sz w:val="32"/>
          <w:szCs w:val="21"/>
          <w:shd w:val="clear" w:color="auto" w:fill="FFFFFF"/>
        </w:rPr>
        <w:t>势力</w:t>
      </w:r>
      <w:r>
        <w:rPr>
          <w:rFonts w:eastAsia="仿宋_GB2312"/>
          <w:sz w:val="32"/>
          <w:szCs w:val="21"/>
          <w:shd w:val="clear" w:color="auto" w:fill="FFFFFF"/>
        </w:rPr>
        <w:t>犯罪集团</w:t>
      </w:r>
      <w:r>
        <w:rPr>
          <w:rFonts w:hint="eastAsia" w:eastAsia="仿宋_GB2312"/>
          <w:sz w:val="32"/>
          <w:szCs w:val="21"/>
          <w:shd w:val="clear" w:color="auto" w:fill="FFFFFF"/>
        </w:rPr>
        <w:t>2</w:t>
      </w:r>
      <w:r>
        <w:rPr>
          <w:rFonts w:eastAsia="仿宋_GB2312"/>
          <w:sz w:val="32"/>
          <w:szCs w:val="21"/>
          <w:shd w:val="clear" w:color="auto" w:fill="FFFFFF"/>
        </w:rPr>
        <w:t>个、恶</w:t>
      </w:r>
      <w:r>
        <w:rPr>
          <w:rFonts w:hint="eastAsia" w:eastAsia="仿宋_GB2312"/>
          <w:sz w:val="32"/>
          <w:szCs w:val="21"/>
          <w:shd w:val="clear" w:color="auto" w:fill="FFFFFF"/>
        </w:rPr>
        <w:t>势力</w:t>
      </w:r>
      <w:r>
        <w:rPr>
          <w:rFonts w:eastAsia="仿宋_GB2312"/>
          <w:sz w:val="32"/>
          <w:szCs w:val="21"/>
          <w:shd w:val="clear" w:color="auto" w:fill="FFFFFF"/>
        </w:rPr>
        <w:t>犯罪团伙1个。</w:t>
      </w:r>
      <w:r>
        <w:rPr>
          <w:rFonts w:eastAsia="仿宋_GB2312"/>
          <w:sz w:val="32"/>
          <w:szCs w:val="32"/>
        </w:rPr>
        <w:t>5月份，我市在扫黑除恶专项斗争中的做法和成效得到了省督导组的高度评价。</w:t>
      </w:r>
      <w:r>
        <w:rPr>
          <w:rFonts w:ascii="仿宋_GB2312" w:eastAsia="仿宋_GB2312"/>
          <w:sz w:val="32"/>
          <w:szCs w:val="32"/>
        </w:rPr>
        <w:t>三是系统推进平安宁乡建设</w:t>
      </w:r>
      <w:r>
        <w:rPr>
          <w:rFonts w:hint="eastAsia" w:eastAsia="仿宋_GB2312"/>
          <w:spacing w:val="4"/>
          <w:sz w:val="32"/>
          <w:szCs w:val="32"/>
        </w:rPr>
        <w:t>。</w:t>
      </w:r>
      <w:r>
        <w:rPr>
          <w:rFonts w:eastAsia="仿宋_GB2312"/>
          <w:sz w:val="32"/>
          <w:szCs w:val="32"/>
        </w:rPr>
        <w:t>压实各级工作责任。总结提炼出《共建共治共享平安宁乡“九个工作法”》，为全市各乡镇（街道）提供了务实管用的工作思路。各乡镇（街道）依托平安建设集中宣传月，共召开屋场会7700余场，进一步浓厚全市平安建设氛围。积极推进微信“四级塔群”“互联网+群防群治”，“枫桥式”司法所、派出所、人民调解组织、“一村一辅警”、乡村“雪亮工程”、“十大平安”创建等工作，不断巩固平安建设基层基础。</w:t>
      </w:r>
      <w:r>
        <w:rPr>
          <w:rFonts w:eastAsia="仿宋_GB2312"/>
          <w:bCs/>
          <w:sz w:val="32"/>
          <w:szCs w:val="32"/>
        </w:rPr>
        <w:t>开展七大专项整治。</w:t>
      </w:r>
      <w:r>
        <w:rPr>
          <w:rFonts w:eastAsia="仿宋_GB2312"/>
          <w:sz w:val="32"/>
          <w:szCs w:val="32"/>
        </w:rPr>
        <w:t>围绕群众反映最强烈的身边事，在全市部署开展了打击“盗抢骗”（含电信诈骗），打击地下“六合彩”，规范棋牌经营场所，打击非法集资（含网络传销）、禁毒整治和食药环整治等7个专项整治行动，取得了一系列战果</w:t>
      </w:r>
      <w:r>
        <w:rPr>
          <w:rFonts w:eastAsia="仿宋_GB2312"/>
          <w:b/>
          <w:sz w:val="32"/>
          <w:szCs w:val="32"/>
        </w:rPr>
        <w:t>，</w:t>
      </w:r>
      <w:r>
        <w:rPr>
          <w:rFonts w:eastAsia="仿宋_GB2312"/>
          <w:sz w:val="32"/>
          <w:szCs w:val="32"/>
        </w:rPr>
        <w:t>提升了人民群众的安全感和满意度。</w:t>
      </w:r>
      <w:r>
        <w:rPr>
          <w:rFonts w:eastAsia="仿宋_GB2312"/>
          <w:bCs/>
          <w:sz w:val="32"/>
          <w:szCs w:val="32"/>
        </w:rPr>
        <w:t>提升综治民调。</w:t>
      </w:r>
      <w:r>
        <w:rPr>
          <w:rFonts w:eastAsia="仿宋_GB2312"/>
          <w:sz w:val="32"/>
          <w:szCs w:val="32"/>
        </w:rPr>
        <w:t>4月，委托第三方机构对全市各市直单位、乡镇（街道）和278个村（社区）进行了市本级民调，对民调排名靠后的乡镇（街道）进行了预警提醒和挂牌督办，并对部分乡镇、社区进行了重点解剖。</w:t>
      </w:r>
      <w:r>
        <w:rPr>
          <w:rFonts w:hint="eastAsia" w:eastAsia="仿宋_GB2312"/>
          <w:sz w:val="32"/>
          <w:szCs w:val="32"/>
        </w:rPr>
        <w:t>2020</w:t>
      </w:r>
      <w:r>
        <w:rPr>
          <w:rFonts w:eastAsia="仿宋_GB2312"/>
          <w:sz w:val="32"/>
          <w:szCs w:val="32"/>
        </w:rPr>
        <w:t>年长沙市级170个乡镇（街道）的民调排名中，我市居前100名的一类乡镇（街道）有15个，较去年增加6个。全省民调排名多年来首次进入前100名，位列第96名。四是</w:t>
      </w:r>
      <w:r>
        <w:rPr>
          <w:rFonts w:ascii="仿宋_GB2312" w:eastAsia="仿宋_GB2312"/>
          <w:sz w:val="32"/>
          <w:szCs w:val="32"/>
        </w:rPr>
        <w:t>统筹推进市域社会治理创新。加强末端矛盾化解。统筹司法局和法院共同推进智慧调解，开发上线全省唯一一个社会矛盾纠纷多元化解（ODR）平台“宁慧调”，引导线上矛盾调解和司法确认。注重中端风险防范。以智慧城市为核心，坚持以大数据支撑社会治理，构建全域智能感知体系。提高五级综治视频会议系统效能，强化县、乡两级综治中心指挥调度、监控预警等功能加快完善城乡十大智能感知系统布局，重点推进智慧安防、智慧网格和四级塔群建设，现已安装并接入视频2.01万路，建成虚实对应的线上线下“四级网格”8808个，强化了对城乡社会的敏锐感知与快速集成反应。长沙市市域社会治理现代化试点首次现场推进会在我市召开。五是强化党对政法工作的绝对领导。以全面贯彻落实《中国共产党政法工作条例》为抓手，不断完善政法系统思想政治工作</w:t>
      </w:r>
      <w:r>
        <w:rPr>
          <w:rFonts w:hint="eastAsia" w:ascii="仿宋_GB2312" w:eastAsia="仿宋_GB2312"/>
          <w:sz w:val="32"/>
          <w:szCs w:val="32"/>
          <w:lang w:val="en-US" w:eastAsia="zh-CN"/>
        </w:rPr>
        <w:t>联席</w:t>
      </w:r>
      <w:r>
        <w:rPr>
          <w:rFonts w:ascii="仿宋_GB2312" w:eastAsia="仿宋_GB2312"/>
          <w:sz w:val="32"/>
          <w:szCs w:val="32"/>
        </w:rPr>
        <w:t>会议、请示报告、督促检查和监督问责等制度。有序开展了政治轮训、政治督查和案件评查，牢固树立党管政法的工作原则。今年9月在湖南大学举办宁乡市基层政法干警党性教育专题培训班。11月在全市抽选6个基层政法单位开展政法系统政治督察。今年以来先后抽取评查案件26件、核查督办案件7件，召开案件协调会11次。</w:t>
      </w:r>
    </w:p>
    <w:p>
      <w:pPr>
        <w:adjustRightInd w:val="0"/>
        <w:snapToGrid w:val="0"/>
        <w:spacing w:line="600" w:lineRule="exact"/>
        <w:ind w:firstLine="627" w:firstLineChars="196"/>
        <w:jc w:val="left"/>
        <w:rPr>
          <w:rFonts w:ascii="楷体_GB2312" w:eastAsia="楷体_GB2312"/>
          <w:sz w:val="32"/>
          <w:szCs w:val="32"/>
        </w:rPr>
      </w:pPr>
      <w:r>
        <w:rPr>
          <w:rFonts w:hint="eastAsia" w:ascii="楷体_GB2312" w:eastAsia="楷体_GB2312"/>
          <w:sz w:val="32"/>
          <w:szCs w:val="32"/>
        </w:rPr>
        <w:t>（二）</w:t>
      </w:r>
      <w:r>
        <w:rPr>
          <w:rFonts w:ascii="楷体_GB2312" w:eastAsia="楷体_GB2312"/>
          <w:sz w:val="32"/>
          <w:szCs w:val="32"/>
        </w:rPr>
        <w:t>部门整体支出规模、使用方向和主要内容、涉及范围等。</w:t>
      </w:r>
    </w:p>
    <w:p>
      <w:pPr>
        <w:adjustRightInd w:val="0"/>
        <w:snapToGrid w:val="0"/>
        <w:spacing w:line="600" w:lineRule="exact"/>
        <w:ind w:firstLine="627" w:firstLineChars="196"/>
        <w:jc w:val="left"/>
        <w:rPr>
          <w:rFonts w:eastAsia="仿宋_GB2312"/>
          <w:sz w:val="32"/>
          <w:szCs w:val="32"/>
        </w:rPr>
      </w:pPr>
      <w:r>
        <w:rPr>
          <w:rFonts w:hint="eastAsia" w:ascii="仿宋_GB2312" w:eastAsia="仿宋_GB2312"/>
          <w:sz w:val="32"/>
          <w:szCs w:val="32"/>
        </w:rPr>
        <w:t>2020年整体支出为1272.11万元,其中基本支出835.88万元、项目支出436.23万元。基本支出是指保障单位机构正常运转、完成日常工作任务而发生的各项支出，包括用于基本工资、津贴补贴等人员经费以及办公费、印刷费、水电费、办公设备购置等日常公用经费；项目支出是</w:t>
      </w:r>
      <w:r>
        <w:rPr>
          <w:rFonts w:hint="eastAsia" w:ascii="仿宋_GB2312" w:hAnsi="仿宋_GB2312" w:eastAsia="仿宋_GB2312"/>
          <w:sz w:val="32"/>
          <w:szCs w:val="32"/>
        </w:rPr>
        <w:t>综治维稳、市委政法工作会议、国安事务和司法救助金及预防青少年犯罪、铁路护路、专业型人才奖励、重大特护期、教育转化和防控经费（原610办）等7个项目，用于办公费、会议费、培训费、宣传费、司法救助、奖励金、劳务费及其他商品服务支出。</w:t>
      </w:r>
    </w:p>
    <w:p>
      <w:pPr>
        <w:adjustRightInd w:val="0"/>
        <w:snapToGrid w:val="0"/>
        <w:spacing w:line="600" w:lineRule="exact"/>
        <w:ind w:firstLine="627" w:firstLineChars="196"/>
        <w:jc w:val="left"/>
        <w:rPr>
          <w:rFonts w:eastAsia="黑体"/>
          <w:bCs/>
          <w:sz w:val="32"/>
          <w:szCs w:val="32"/>
        </w:rPr>
      </w:pPr>
      <w:r>
        <w:rPr>
          <w:rFonts w:eastAsia="黑体"/>
          <w:bCs/>
          <w:sz w:val="32"/>
          <w:szCs w:val="32"/>
        </w:rPr>
        <w:t>二、部门整体支出管理及使用情况</w:t>
      </w:r>
    </w:p>
    <w:p>
      <w:pPr>
        <w:adjustRightInd w:val="0"/>
        <w:snapToGrid w:val="0"/>
        <w:spacing w:line="600" w:lineRule="exact"/>
        <w:ind w:firstLine="627" w:firstLineChars="196"/>
        <w:jc w:val="left"/>
        <w:rPr>
          <w:rFonts w:eastAsia="黑体"/>
          <w:bCs/>
          <w:sz w:val="32"/>
          <w:szCs w:val="32"/>
        </w:rPr>
      </w:pPr>
      <w:r>
        <w:rPr>
          <w:rFonts w:hint="eastAsia" w:ascii="仿宋_GB2312" w:eastAsia="仿宋_GB2312"/>
          <w:sz w:val="32"/>
          <w:szCs w:val="32"/>
        </w:rPr>
        <w:t>2020年整体支出为1272.11万元,具体情况如下:</w:t>
      </w:r>
    </w:p>
    <w:p>
      <w:pPr>
        <w:adjustRightInd w:val="0"/>
        <w:snapToGrid w:val="0"/>
        <w:spacing w:line="600" w:lineRule="exact"/>
        <w:ind w:firstLine="709"/>
        <w:rPr>
          <w:rFonts w:ascii="仿宋_GB2312" w:eastAsia="仿宋_GB2312"/>
          <w:sz w:val="32"/>
          <w:szCs w:val="32"/>
        </w:rPr>
      </w:pPr>
      <w:r>
        <w:rPr>
          <w:rFonts w:hint="eastAsia" w:ascii="楷体_GB2312" w:hAnsi="楷体_GB2312" w:eastAsia="楷体_GB2312" w:cs="楷体_GB2312"/>
          <w:sz w:val="32"/>
          <w:szCs w:val="32"/>
        </w:rPr>
        <w:t>（一）基本支出：</w:t>
      </w:r>
      <w:r>
        <w:rPr>
          <w:rFonts w:hint="eastAsia" w:ascii="仿宋_GB2312" w:eastAsia="仿宋_GB2312"/>
          <w:sz w:val="32"/>
          <w:szCs w:val="32"/>
        </w:rPr>
        <w:t>2020年基本支出835.88万元，是指保障单位机构正常运转、完成日常工作任务而发生的各项支出，包括用于基本工资、津贴补贴等人员经费以及办公费、印刷费、水电费、办公设备购置等日常公用经费。其中人员经费754.11万元、机关运行经费81.77万元。</w:t>
      </w:r>
    </w:p>
    <w:p>
      <w:pPr>
        <w:adjustRightInd w:val="0"/>
        <w:snapToGrid w:val="0"/>
        <w:spacing w:line="600" w:lineRule="exact"/>
        <w:ind w:firstLine="640" w:firstLineChars="200"/>
        <w:rPr>
          <w:rFonts w:eastAsia="仿宋_GB2312"/>
          <w:sz w:val="32"/>
          <w:szCs w:val="32"/>
        </w:rPr>
      </w:pPr>
      <w:r>
        <w:rPr>
          <w:rFonts w:hint="eastAsia" w:ascii="仿宋_GB2312" w:eastAsia="仿宋_GB2312"/>
          <w:sz w:val="32"/>
          <w:szCs w:val="32"/>
        </w:rPr>
        <w:t>（二）</w:t>
      </w:r>
      <w:r>
        <w:rPr>
          <w:rFonts w:hint="eastAsia" w:ascii="楷体_GB2312" w:hAnsi="楷体_GB2312" w:eastAsia="楷体_GB2312" w:cs="楷体_GB2312"/>
          <w:sz w:val="32"/>
          <w:szCs w:val="32"/>
        </w:rPr>
        <w:t>项目支出</w:t>
      </w:r>
      <w:r>
        <w:rPr>
          <w:rFonts w:hint="eastAsia" w:ascii="仿宋_GB2312" w:eastAsia="仿宋_GB2312"/>
          <w:sz w:val="32"/>
          <w:szCs w:val="32"/>
        </w:rPr>
        <w:t>：</w:t>
      </w:r>
      <w:r>
        <w:rPr>
          <w:rFonts w:hint="eastAsia" w:eastAsia="仿宋_GB2312"/>
          <w:sz w:val="32"/>
          <w:szCs w:val="32"/>
        </w:rPr>
        <w:t>2020年项目支出436.23万元。其中综治维稳工作项目支出236.23万元，用于处理突发性和群体性事件，中华人民共和国成立70周年和全国、省、市两会驻点维稳劝返工作， 各特护期、敏感日安保维稳，平安建设、扫黑除恶、网格化管理等；市委政法工作会议项目支出40万元，用于市委政法工作大会会议费及对综治、扫黑除恶、见义勇为奖励金等；国安事务、司法救助金及预防青少年犯罪项目支出32万元，用于国安工作日常工作、打击处理和信息情报系统，全市涉法涉诉困难户、重大交通事故受害者等实行司法救助，全市青少年犯罪预防宣传等；铁路护路项目支出40万元，用于有奖护路责任户补助、铁路护路员用具及铁路沿线宣传等；专业型人才奖励金18万元，用于政法系统10类三档（带头人、精英、能手）人才奖励；教育转化、防控经费项目支出40万元是用于特殊人群教育转化和防控等；扫黑除恶追加经费30万元，用于扫黑除恶专项斗争办案、宣传、日常办公、人员培训等。</w:t>
      </w:r>
    </w:p>
    <w:p>
      <w:pPr>
        <w:adjustRightInd w:val="0"/>
        <w:snapToGrid w:val="0"/>
        <w:spacing w:line="600" w:lineRule="exact"/>
        <w:ind w:firstLine="640" w:firstLineChars="200"/>
        <w:rPr>
          <w:rFonts w:ascii="仿宋_GB2312" w:eastAsia="仿宋_GB2312"/>
          <w:sz w:val="30"/>
          <w:szCs w:val="30"/>
        </w:rPr>
      </w:pPr>
      <w:r>
        <w:rPr>
          <w:rFonts w:hint="eastAsia" w:ascii="楷体_GB2312" w:eastAsia="楷体_GB2312"/>
          <w:sz w:val="32"/>
          <w:szCs w:val="32"/>
        </w:rPr>
        <w:t xml:space="preserve">（三） </w:t>
      </w:r>
      <w:r>
        <w:rPr>
          <w:rFonts w:ascii="楷体_GB2312" w:eastAsia="楷体_GB2312"/>
          <w:sz w:val="32"/>
          <w:szCs w:val="32"/>
        </w:rPr>
        <w:t>资金管理情况分析及加强内部控制。</w:t>
      </w:r>
      <w:r>
        <w:rPr>
          <w:rFonts w:eastAsia="仿宋_GB2312"/>
          <w:sz w:val="32"/>
          <w:szCs w:val="32"/>
        </w:rPr>
        <w:t>我委重视单位内部管理制度建设，加强财务管理，强化财务监督，增强法纪观念，遵守规章制度。为保证财务管理工作规范有序进行，20</w:t>
      </w:r>
      <w:r>
        <w:rPr>
          <w:rFonts w:hint="eastAsia" w:eastAsia="仿宋_GB2312"/>
          <w:sz w:val="32"/>
          <w:szCs w:val="32"/>
        </w:rPr>
        <w:t>20</w:t>
      </w:r>
      <w:r>
        <w:rPr>
          <w:rFonts w:eastAsia="仿宋_GB2312"/>
          <w:sz w:val="32"/>
          <w:szCs w:val="32"/>
        </w:rPr>
        <w:t>年我们进一步完善了相关财务管理的制度、规定，加强内部控制和监督。对各项资金的管理、经费收支审批等均做了明确规定，正确组织资金的筹集、调度和使用，债权债务及时结算、结清。各项经费支出实行限额把关、一支笔审批制度。强化制度执行。切实做好厉行节约工作，全面落实各项管理制度要求，努力降低行政成本。严格公务接待费、差旅费、会议费和培训费审核审批程序， “三公”经费较好地控制在预算范围之内。</w:t>
      </w:r>
    </w:p>
    <w:p>
      <w:pPr>
        <w:adjustRightInd w:val="0"/>
        <w:snapToGrid w:val="0"/>
        <w:spacing w:line="600" w:lineRule="exact"/>
        <w:ind w:firstLine="627" w:firstLineChars="196"/>
        <w:jc w:val="left"/>
        <w:rPr>
          <w:rFonts w:eastAsia="黑体"/>
          <w:bCs/>
          <w:sz w:val="32"/>
          <w:szCs w:val="32"/>
        </w:rPr>
      </w:pPr>
      <w:r>
        <w:rPr>
          <w:rFonts w:eastAsia="黑体"/>
          <w:bCs/>
          <w:sz w:val="32"/>
          <w:szCs w:val="32"/>
        </w:rPr>
        <w:t>三、部门项目组织实施情况</w:t>
      </w:r>
    </w:p>
    <w:p>
      <w:pPr>
        <w:adjustRightInd w:val="0"/>
        <w:snapToGrid w:val="0"/>
        <w:spacing w:line="600" w:lineRule="exact"/>
        <w:ind w:firstLine="640" w:firstLineChars="200"/>
        <w:jc w:val="left"/>
        <w:rPr>
          <w:rFonts w:eastAsia="仿宋_GB2312"/>
          <w:sz w:val="32"/>
          <w:szCs w:val="32"/>
        </w:rPr>
      </w:pPr>
      <w:r>
        <w:rPr>
          <w:rFonts w:eastAsia="仿宋_GB2312"/>
          <w:sz w:val="32"/>
          <w:szCs w:val="32"/>
        </w:rPr>
        <w:t>项目资金为专项经费的，全部用于专项工作。健全各项工作制度，严格执行机关财务管理制度，重大项目开支召开委务会研究。扫黑除恶、平安建设宣传、定点文印等，均通过政府采购，严格按照要求和程序进行采购。司法救助金是严格按照省级司法救助标准申报，层层把关审核，实行专款专用。</w:t>
      </w:r>
    </w:p>
    <w:p>
      <w:pPr>
        <w:adjustRightInd w:val="0"/>
        <w:snapToGrid w:val="0"/>
        <w:spacing w:line="600" w:lineRule="exact"/>
        <w:ind w:firstLine="627" w:firstLineChars="196"/>
        <w:jc w:val="left"/>
        <w:rPr>
          <w:rFonts w:eastAsia="黑体"/>
          <w:bCs/>
          <w:sz w:val="32"/>
          <w:szCs w:val="32"/>
        </w:rPr>
      </w:pPr>
      <w:r>
        <w:rPr>
          <w:rFonts w:eastAsia="黑体"/>
          <w:bCs/>
          <w:sz w:val="32"/>
          <w:szCs w:val="32"/>
        </w:rPr>
        <w:t>四、资产管理情况</w:t>
      </w:r>
    </w:p>
    <w:p>
      <w:pPr>
        <w:adjustRightInd w:val="0"/>
        <w:snapToGrid w:val="0"/>
        <w:spacing w:line="600" w:lineRule="exact"/>
        <w:ind w:firstLine="627" w:firstLineChars="196"/>
        <w:jc w:val="left"/>
        <w:rPr>
          <w:rFonts w:eastAsia="仿宋_GB2312"/>
          <w:sz w:val="32"/>
          <w:szCs w:val="32"/>
        </w:rPr>
      </w:pPr>
      <w:r>
        <w:rPr>
          <w:rFonts w:eastAsia="仿宋_GB2312"/>
          <w:sz w:val="32"/>
          <w:szCs w:val="32"/>
        </w:rPr>
        <w:t>资产采购及管理分岗位负责，资产配置、管理、处置严格按照政府采购及资产管理办法程序办理。资产系统与会计账务的固定资产数据一致。</w:t>
      </w:r>
    </w:p>
    <w:p>
      <w:pPr>
        <w:adjustRightInd w:val="0"/>
        <w:snapToGrid w:val="0"/>
        <w:spacing w:line="600" w:lineRule="exact"/>
        <w:ind w:firstLine="627" w:firstLineChars="196"/>
        <w:jc w:val="left"/>
        <w:rPr>
          <w:rFonts w:eastAsia="黑体"/>
          <w:bCs/>
          <w:sz w:val="32"/>
          <w:szCs w:val="32"/>
        </w:rPr>
      </w:pPr>
      <w:r>
        <w:rPr>
          <w:rFonts w:eastAsia="黑体"/>
          <w:bCs/>
          <w:sz w:val="32"/>
          <w:szCs w:val="32"/>
        </w:rPr>
        <w:t>五、部门整体支出绩效情况</w:t>
      </w:r>
    </w:p>
    <w:p>
      <w:pPr>
        <w:adjustRightInd w:val="0"/>
        <w:snapToGrid w:val="0"/>
        <w:spacing w:line="600" w:lineRule="exact"/>
        <w:ind w:firstLine="627" w:firstLineChars="196"/>
        <w:jc w:val="left"/>
        <w:rPr>
          <w:rFonts w:eastAsia="仿宋_GB2312"/>
          <w:sz w:val="32"/>
          <w:szCs w:val="32"/>
        </w:rPr>
      </w:pPr>
      <w:r>
        <w:rPr>
          <w:rFonts w:hint="eastAsia" w:eastAsia="仿宋_GB2312"/>
          <w:sz w:val="32"/>
          <w:szCs w:val="32"/>
        </w:rPr>
        <w:t>2020年，市委政法委严格执行国家财经法律法规和内部财务管理制度，管理规范，制度健全，财务开支合理。部门整体支出绩效情况如下：</w:t>
      </w:r>
    </w:p>
    <w:p>
      <w:pPr>
        <w:pStyle w:val="4"/>
        <w:numPr>
          <w:ilvl w:val="0"/>
          <w:numId w:val="1"/>
        </w:numPr>
        <w:adjustRightInd w:val="0"/>
        <w:snapToGrid w:val="0"/>
        <w:spacing w:line="600" w:lineRule="exact"/>
        <w:ind w:firstLineChars="0"/>
        <w:jc w:val="left"/>
        <w:rPr>
          <w:rFonts w:ascii="楷体_GB2312" w:hAnsi="Times New Roman" w:eastAsia="楷体_GB2312"/>
          <w:sz w:val="32"/>
          <w:szCs w:val="32"/>
        </w:rPr>
      </w:pPr>
      <w:r>
        <w:rPr>
          <w:rFonts w:hint="eastAsia" w:ascii="楷体_GB2312" w:hAnsi="Times New Roman" w:eastAsia="楷体_GB2312"/>
          <w:sz w:val="32"/>
          <w:szCs w:val="32"/>
        </w:rPr>
        <w:t>经济效益评价</w:t>
      </w:r>
    </w:p>
    <w:p>
      <w:pPr>
        <w:adjustRightInd w:val="0"/>
        <w:snapToGrid w:val="0"/>
        <w:spacing w:line="600" w:lineRule="exact"/>
        <w:ind w:firstLine="640" w:firstLineChars="200"/>
        <w:rPr>
          <w:rFonts w:ascii="仿宋_GB2312" w:eastAsia="仿宋_GB2312"/>
          <w:sz w:val="30"/>
          <w:szCs w:val="30"/>
        </w:rPr>
      </w:pPr>
      <w:r>
        <w:rPr>
          <w:rFonts w:hint="eastAsia" w:eastAsia="仿宋_GB2312"/>
          <w:sz w:val="32"/>
          <w:szCs w:val="32"/>
        </w:rPr>
        <w:t>1.预算执行方面，严格按照年初预算执行，支出总额控制在预算总额之内；2020年度</w:t>
      </w:r>
      <w:r>
        <w:rPr>
          <w:rFonts w:hint="eastAsia" w:ascii="仿宋_GB2312" w:eastAsia="仿宋_GB2312"/>
          <w:sz w:val="30"/>
          <w:szCs w:val="30"/>
        </w:rPr>
        <w:t>“</w:t>
      </w:r>
      <w:r>
        <w:rPr>
          <w:rFonts w:hint="eastAsia" w:eastAsia="仿宋_GB2312"/>
          <w:sz w:val="32"/>
          <w:szCs w:val="32"/>
        </w:rPr>
        <w:t>三公”经费支出0.58万元，国内公务接待费0.58万元，11批次，75人，比年初预算减少19.42万元，节约了公务接待开支；无公务用车购置费及运行维护费、和因公出国境费。</w:t>
      </w:r>
    </w:p>
    <w:p>
      <w:pPr>
        <w:adjustRightInd w:val="0"/>
        <w:snapToGrid w:val="0"/>
        <w:spacing w:line="600" w:lineRule="exact"/>
        <w:ind w:firstLine="640" w:firstLineChars="200"/>
        <w:jc w:val="left"/>
        <w:rPr>
          <w:rFonts w:eastAsia="仿宋_GB2312"/>
          <w:sz w:val="32"/>
          <w:szCs w:val="32"/>
        </w:rPr>
      </w:pPr>
      <w:r>
        <w:rPr>
          <w:rFonts w:hint="eastAsia" w:eastAsia="仿宋_GB2312"/>
          <w:sz w:val="32"/>
          <w:szCs w:val="32"/>
        </w:rPr>
        <w:t>2. 预算管理方面，严格执行预算管理的各项制度，制度执</w:t>
      </w:r>
      <w:r>
        <w:rPr>
          <w:rFonts w:hint="eastAsia" w:eastAsia="仿宋_GB2312"/>
          <w:sz w:val="32"/>
          <w:szCs w:val="32"/>
          <w:lang w:val="en-US" w:eastAsia="zh-CN"/>
        </w:rPr>
        <w:t>行</w:t>
      </w:r>
      <w:r>
        <w:rPr>
          <w:rFonts w:hint="eastAsia" w:eastAsia="仿宋_GB2312"/>
          <w:sz w:val="32"/>
          <w:szCs w:val="32"/>
        </w:rPr>
        <w:t>总体较为有效。</w:t>
      </w:r>
    </w:p>
    <w:p>
      <w:pPr>
        <w:adjustRightInd w:val="0"/>
        <w:snapToGrid w:val="0"/>
        <w:spacing w:line="600" w:lineRule="exact"/>
        <w:ind w:firstLine="640" w:firstLineChars="200"/>
        <w:jc w:val="left"/>
        <w:rPr>
          <w:rFonts w:eastAsia="仿宋_GB2312"/>
          <w:sz w:val="32"/>
          <w:szCs w:val="32"/>
        </w:rPr>
      </w:pPr>
      <w:r>
        <w:rPr>
          <w:rFonts w:hint="eastAsia" w:ascii="楷体_GB2312" w:eastAsia="楷体_GB2312"/>
          <w:sz w:val="32"/>
          <w:szCs w:val="32"/>
        </w:rPr>
        <w:t>（二）效率性评价和有效性评价</w:t>
      </w:r>
    </w:p>
    <w:p>
      <w:pPr>
        <w:adjustRightInd w:val="0"/>
        <w:snapToGrid w:val="0"/>
        <w:spacing w:line="600" w:lineRule="exact"/>
        <w:ind w:firstLine="640" w:firstLineChars="200"/>
        <w:jc w:val="left"/>
        <w:rPr>
          <w:rFonts w:eastAsia="仿宋_GB2312"/>
          <w:sz w:val="32"/>
          <w:szCs w:val="32"/>
        </w:rPr>
      </w:pPr>
      <w:r>
        <w:rPr>
          <w:rFonts w:hint="eastAsia" w:eastAsia="仿宋_GB2312"/>
          <w:sz w:val="32"/>
          <w:szCs w:val="32"/>
        </w:rPr>
        <w:t>严格控制和规范管理经费支出，增强经费预算刚性，提高资金使用效益，财政资金做到了科学化、精细化管理，整体支出绩效目标完成较好。</w:t>
      </w:r>
    </w:p>
    <w:p>
      <w:pPr>
        <w:adjustRightInd w:val="0"/>
        <w:snapToGrid w:val="0"/>
        <w:spacing w:line="600" w:lineRule="exact"/>
        <w:ind w:firstLine="640" w:firstLineChars="200"/>
        <w:jc w:val="left"/>
        <w:rPr>
          <w:rFonts w:ascii="楷体_GB2312" w:eastAsia="楷体_GB2312"/>
          <w:sz w:val="32"/>
          <w:szCs w:val="32"/>
        </w:rPr>
      </w:pPr>
      <w:r>
        <w:rPr>
          <w:rFonts w:hint="eastAsia" w:ascii="楷体_GB2312" w:eastAsia="楷体_GB2312"/>
          <w:sz w:val="32"/>
          <w:szCs w:val="32"/>
        </w:rPr>
        <w:t>（三）社会公众满意度评价</w:t>
      </w:r>
    </w:p>
    <w:p>
      <w:pPr>
        <w:adjustRightInd w:val="0"/>
        <w:snapToGrid w:val="0"/>
        <w:spacing w:line="600" w:lineRule="exact"/>
        <w:ind w:firstLine="640" w:firstLineChars="200"/>
        <w:jc w:val="left"/>
        <w:rPr>
          <w:rFonts w:eastAsia="仿宋_GB2312"/>
          <w:sz w:val="32"/>
          <w:szCs w:val="32"/>
        </w:rPr>
      </w:pPr>
      <w:r>
        <w:rPr>
          <w:rFonts w:eastAsia="仿宋_GB2312"/>
          <w:sz w:val="32"/>
          <w:szCs w:val="32"/>
        </w:rPr>
        <w:t>围绕群众反映最强烈的身边事，在全市部署开展了打击“盗抢骗”（含电信诈骗），打击地下“六合彩”，规范棋牌经营场所，打击非法集资（含网络传销）、禁毒整治和食药环整治等7个专项整治行动，取得了一系列战果</w:t>
      </w:r>
      <w:r>
        <w:rPr>
          <w:rFonts w:eastAsia="仿宋_GB2312"/>
          <w:b/>
          <w:sz w:val="32"/>
          <w:szCs w:val="32"/>
        </w:rPr>
        <w:t>，</w:t>
      </w:r>
      <w:r>
        <w:rPr>
          <w:rFonts w:eastAsia="仿宋_GB2312"/>
          <w:sz w:val="32"/>
          <w:szCs w:val="32"/>
        </w:rPr>
        <w:t>提升了人民群众的安全感和满意度。4月，委托第三方机构对全市各市直单位、乡镇（街道）和278个村（社区）进行了市本级民调，对民调排名靠后的乡镇（街道）进行了预警提醒和挂牌督办，并对部分乡镇、社区进行了重点解剖。</w:t>
      </w:r>
      <w:r>
        <w:rPr>
          <w:rFonts w:hint="eastAsia" w:eastAsia="仿宋_GB2312"/>
          <w:sz w:val="32"/>
          <w:szCs w:val="32"/>
        </w:rPr>
        <w:t>2020</w:t>
      </w:r>
      <w:r>
        <w:rPr>
          <w:rFonts w:eastAsia="仿宋_GB2312"/>
          <w:sz w:val="32"/>
          <w:szCs w:val="32"/>
        </w:rPr>
        <w:t>年长沙市级170个乡镇（街道）的民调排名中，我市居前100名的一类乡镇（街道）有15个，较去年增加6个。全省民调排名多年来首次进入前100名，位列全省第96名。</w:t>
      </w:r>
    </w:p>
    <w:p>
      <w:pPr>
        <w:adjustRightInd w:val="0"/>
        <w:snapToGrid w:val="0"/>
        <w:spacing w:line="600" w:lineRule="exact"/>
        <w:ind w:firstLine="627" w:firstLineChars="196"/>
        <w:jc w:val="left"/>
        <w:rPr>
          <w:rFonts w:eastAsia="黑体"/>
          <w:bCs/>
          <w:sz w:val="32"/>
          <w:szCs w:val="32"/>
        </w:rPr>
      </w:pPr>
      <w:r>
        <w:rPr>
          <w:rFonts w:eastAsia="黑体"/>
          <w:bCs/>
          <w:sz w:val="32"/>
          <w:szCs w:val="32"/>
        </w:rPr>
        <w:t>六、存在的主要问题</w:t>
      </w:r>
    </w:p>
    <w:p>
      <w:pPr>
        <w:adjustRightInd w:val="0"/>
        <w:snapToGrid w:val="0"/>
        <w:spacing w:line="600" w:lineRule="exact"/>
        <w:ind w:firstLine="627" w:firstLineChars="196"/>
        <w:jc w:val="left"/>
        <w:rPr>
          <w:rFonts w:eastAsia="仿宋_GB2312"/>
          <w:sz w:val="32"/>
          <w:szCs w:val="32"/>
        </w:rPr>
      </w:pPr>
      <w:r>
        <w:rPr>
          <w:rFonts w:hint="eastAsia" w:eastAsia="仿宋_GB2312"/>
          <w:sz w:val="32"/>
          <w:szCs w:val="32"/>
        </w:rPr>
        <w:t>人</w:t>
      </w:r>
      <w:r>
        <w:rPr>
          <w:rFonts w:eastAsia="仿宋_GB2312"/>
          <w:sz w:val="32"/>
          <w:szCs w:val="32"/>
        </w:rPr>
        <w:t>员经费中的社会保障经费预算不足，要通过其他公用经费来调节。</w:t>
      </w:r>
    </w:p>
    <w:p>
      <w:pPr>
        <w:adjustRightInd w:val="0"/>
        <w:snapToGrid w:val="0"/>
        <w:spacing w:line="600" w:lineRule="exact"/>
        <w:ind w:firstLine="627" w:firstLineChars="196"/>
        <w:jc w:val="left"/>
        <w:rPr>
          <w:rFonts w:eastAsia="黑体"/>
          <w:bCs/>
          <w:sz w:val="32"/>
          <w:szCs w:val="32"/>
        </w:rPr>
      </w:pPr>
      <w:r>
        <w:rPr>
          <w:rFonts w:eastAsia="黑体"/>
          <w:bCs/>
          <w:sz w:val="32"/>
          <w:szCs w:val="32"/>
        </w:rPr>
        <w:t>七、改进措施和有关建议</w:t>
      </w:r>
    </w:p>
    <w:p>
      <w:pPr>
        <w:adjustRightInd w:val="0"/>
        <w:snapToGrid w:val="0"/>
        <w:spacing w:line="600" w:lineRule="exact"/>
        <w:ind w:firstLine="627" w:firstLineChars="196"/>
        <w:jc w:val="left"/>
        <w:rPr>
          <w:rFonts w:eastAsia="仿宋_GB2312"/>
          <w:sz w:val="32"/>
          <w:szCs w:val="32"/>
        </w:rPr>
      </w:pPr>
      <w:r>
        <w:rPr>
          <w:rFonts w:hint="eastAsia" w:eastAsia="仿宋_GB2312"/>
          <w:sz w:val="32"/>
          <w:szCs w:val="32"/>
        </w:rPr>
        <w:t>1. 强化预算执行，提高预算完成率。严格按项目和进度执行预算，合理安排资金支出，增强预算执行的规范性和严肃</w:t>
      </w:r>
      <w:r>
        <w:rPr>
          <w:rFonts w:hint="eastAsia" w:eastAsia="仿宋_GB2312"/>
          <w:sz w:val="32"/>
          <w:szCs w:val="32"/>
          <w:lang w:val="en-US" w:eastAsia="zh-CN"/>
        </w:rPr>
        <w:t>性</w:t>
      </w:r>
      <w:r>
        <w:rPr>
          <w:rFonts w:hint="eastAsia" w:eastAsia="仿宋_GB2312"/>
          <w:sz w:val="32"/>
          <w:szCs w:val="32"/>
        </w:rPr>
        <w:t>。加强预算的执行进度，减少存量资金，切实提高预算完成率及资金使用效率。</w:t>
      </w:r>
    </w:p>
    <w:p>
      <w:pPr>
        <w:adjustRightInd w:val="0"/>
        <w:snapToGrid w:val="0"/>
        <w:spacing w:line="600" w:lineRule="exact"/>
        <w:ind w:firstLine="627" w:firstLineChars="196"/>
        <w:jc w:val="left"/>
        <w:rPr>
          <w:rFonts w:eastAsia="仿宋_GB2312"/>
          <w:sz w:val="32"/>
          <w:szCs w:val="32"/>
        </w:rPr>
      </w:pPr>
      <w:r>
        <w:rPr>
          <w:rFonts w:hint="eastAsia" w:eastAsia="仿宋_GB2312"/>
          <w:sz w:val="32"/>
          <w:szCs w:val="32"/>
        </w:rPr>
        <w:t>2. 加强学习，规范部门收支核算，及时了解预算执行差异，合理调整、纠正预算偏差，切实提高部门预算收支管理水平，尽可能做到决</w:t>
      </w:r>
      <w:r>
        <w:rPr>
          <w:rFonts w:hint="eastAsia" w:eastAsia="仿宋_GB2312"/>
          <w:sz w:val="32"/>
          <w:szCs w:val="32"/>
          <w:lang w:val="en-US" w:eastAsia="zh-CN"/>
        </w:rPr>
        <w:t>算</w:t>
      </w:r>
      <w:r>
        <w:rPr>
          <w:rFonts w:hint="eastAsia" w:eastAsia="仿宋_GB2312"/>
          <w:sz w:val="32"/>
          <w:szCs w:val="32"/>
        </w:rPr>
        <w:t>和预算的相统一。</w:t>
      </w:r>
    </w:p>
    <w:p/>
    <w:sectPr>
      <w:pgSz w:w="11906" w:h="16838"/>
      <w:pgMar w:top="1701" w:right="1588" w:bottom="1440" w:left="1588" w:header="851" w:footer="1361"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7441C3"/>
    <w:multiLevelType w:val="multilevel"/>
    <w:tmpl w:val="367441C3"/>
    <w:lvl w:ilvl="0" w:tentative="0">
      <w:start w:val="1"/>
      <w:numFmt w:val="japaneseCounting"/>
      <w:lvlText w:val="（%1）"/>
      <w:lvlJc w:val="left"/>
      <w:pPr>
        <w:ind w:left="1707" w:hanging="1080"/>
      </w:pPr>
      <w:rPr>
        <w:rFonts w:hint="default"/>
      </w:rPr>
    </w:lvl>
    <w:lvl w:ilvl="1" w:tentative="0">
      <w:start w:val="1"/>
      <w:numFmt w:val="lowerLetter"/>
      <w:lvlText w:val="%2)"/>
      <w:lvlJc w:val="left"/>
      <w:pPr>
        <w:ind w:left="1467" w:hanging="420"/>
      </w:pPr>
    </w:lvl>
    <w:lvl w:ilvl="2" w:tentative="0">
      <w:start w:val="1"/>
      <w:numFmt w:val="lowerRoman"/>
      <w:lvlText w:val="%3."/>
      <w:lvlJc w:val="right"/>
      <w:pPr>
        <w:ind w:left="1887" w:hanging="420"/>
      </w:pPr>
    </w:lvl>
    <w:lvl w:ilvl="3" w:tentative="0">
      <w:start w:val="1"/>
      <w:numFmt w:val="decimal"/>
      <w:lvlText w:val="%4."/>
      <w:lvlJc w:val="left"/>
      <w:pPr>
        <w:ind w:left="2307" w:hanging="420"/>
      </w:pPr>
    </w:lvl>
    <w:lvl w:ilvl="4" w:tentative="0">
      <w:start w:val="1"/>
      <w:numFmt w:val="lowerLetter"/>
      <w:lvlText w:val="%5)"/>
      <w:lvlJc w:val="left"/>
      <w:pPr>
        <w:ind w:left="2727" w:hanging="420"/>
      </w:pPr>
    </w:lvl>
    <w:lvl w:ilvl="5" w:tentative="0">
      <w:start w:val="1"/>
      <w:numFmt w:val="lowerRoman"/>
      <w:lvlText w:val="%6."/>
      <w:lvlJc w:val="right"/>
      <w:pPr>
        <w:ind w:left="3147" w:hanging="420"/>
      </w:pPr>
    </w:lvl>
    <w:lvl w:ilvl="6" w:tentative="0">
      <w:start w:val="1"/>
      <w:numFmt w:val="decimal"/>
      <w:lvlText w:val="%7."/>
      <w:lvlJc w:val="left"/>
      <w:pPr>
        <w:ind w:left="3567" w:hanging="420"/>
      </w:pPr>
    </w:lvl>
    <w:lvl w:ilvl="7" w:tentative="0">
      <w:start w:val="1"/>
      <w:numFmt w:val="lowerLetter"/>
      <w:lvlText w:val="%8)"/>
      <w:lvlJc w:val="left"/>
      <w:pPr>
        <w:ind w:left="3987" w:hanging="420"/>
      </w:pPr>
    </w:lvl>
    <w:lvl w:ilvl="8" w:tentative="0">
      <w:start w:val="1"/>
      <w:numFmt w:val="lowerRoman"/>
      <w:lvlText w:val="%9."/>
      <w:lvlJc w:val="right"/>
      <w:pPr>
        <w:ind w:left="4407"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hZDc5ZDhmOWM2NTY2YTdjODM5NjJkNzU0YmU2YmEifQ=="/>
  </w:docVars>
  <w:rsids>
    <w:rsidRoot w:val="00603BC6"/>
    <w:rsid w:val="00017E1E"/>
    <w:rsid w:val="00040464"/>
    <w:rsid w:val="00236D97"/>
    <w:rsid w:val="003440B2"/>
    <w:rsid w:val="00413FC4"/>
    <w:rsid w:val="00424CE3"/>
    <w:rsid w:val="00603BC6"/>
    <w:rsid w:val="00987F50"/>
    <w:rsid w:val="00997383"/>
    <w:rsid w:val="00AA1A06"/>
    <w:rsid w:val="00AB20C1"/>
    <w:rsid w:val="00E43F40"/>
    <w:rsid w:val="00F73B2F"/>
    <w:rsid w:val="127001C5"/>
    <w:rsid w:val="17005514"/>
    <w:rsid w:val="224D69C6"/>
    <w:rsid w:val="24091B2B"/>
    <w:rsid w:val="39382F3B"/>
    <w:rsid w:val="47B2035D"/>
    <w:rsid w:val="52F7756C"/>
    <w:rsid w:val="5FCF7634"/>
    <w:rsid w:val="7B6A2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3953</Words>
  <Characters>4122</Characters>
  <Lines>29</Lines>
  <Paragraphs>8</Paragraphs>
  <TotalTime>7</TotalTime>
  <ScaleCrop>false</ScaleCrop>
  <LinksUpToDate>false</LinksUpToDate>
  <CharactersWithSpaces>4128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2021-07-09T07:13:00Z</dcterms:created>
  <dc:creator>xb21cn</dc:creator>
  <cp:lastModifiedBy>刘善</cp:lastModifiedBy>
  <dcterms:modified xsi:type="dcterms:W3CDTF">2025-09-10T07:02:01Z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9FAD6812F923404FB717764487432094</vt:lpwstr>
  </property>
</Properties>
</file>