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6870"/>
        </w:tabs>
        <w:spacing w:after="0" w:line="560" w:lineRule="exact"/>
        <w:jc w:val="center"/>
        <w:rPr>
          <w:rFonts w:hint="eastAsia" w:ascii="方正小标宋简体" w:eastAsia="方正小标宋简体"/>
          <w:sz w:val="44"/>
          <w:szCs w:val="44"/>
        </w:rPr>
      </w:pPr>
      <w:r>
        <w:rPr>
          <w:rFonts w:hint="eastAsia" w:ascii="方正小标宋简体" w:eastAsia="方正小标宋简体"/>
          <w:sz w:val="44"/>
          <w:szCs w:val="44"/>
        </w:rPr>
        <w:t>市纪委监委整体支出绩效自评报告</w:t>
      </w:r>
    </w:p>
    <w:p>
      <w:pPr>
        <w:tabs>
          <w:tab w:val="left" w:pos="6870"/>
        </w:tabs>
        <w:spacing w:after="0" w:line="560" w:lineRule="exact"/>
        <w:jc w:val="center"/>
        <w:rPr>
          <w:rFonts w:hint="eastAsia" w:ascii="方正小标宋简体" w:eastAsia="方正小标宋简体"/>
          <w:sz w:val="44"/>
          <w:szCs w:val="44"/>
        </w:rPr>
      </w:pPr>
    </w:p>
    <w:p>
      <w:pPr>
        <w:tabs>
          <w:tab w:val="left" w:pos="6870"/>
        </w:tabs>
        <w:spacing w:after="0" w:line="560" w:lineRule="exact"/>
        <w:ind w:firstLine="640" w:firstLineChars="200"/>
        <w:rPr>
          <w:rFonts w:hint="eastAsia" w:ascii="黑体" w:hAnsi="黑体" w:eastAsia="黑体" w:cs="宋体"/>
          <w:sz w:val="32"/>
          <w:szCs w:val="32"/>
        </w:rPr>
      </w:pPr>
      <w:r>
        <w:rPr>
          <w:rFonts w:hint="eastAsia" w:ascii="黑体" w:hAnsi="黑体" w:eastAsia="黑体" w:cs="宋体"/>
          <w:sz w:val="32"/>
          <w:szCs w:val="32"/>
        </w:rPr>
        <w:t>一、部门概况</w:t>
      </w:r>
    </w:p>
    <w:p>
      <w:pPr>
        <w:tabs>
          <w:tab w:val="left" w:pos="6870"/>
        </w:tabs>
        <w:spacing w:after="0" w:line="560" w:lineRule="exact"/>
        <w:ind w:firstLine="643" w:firstLineChars="200"/>
        <w:rPr>
          <w:rFonts w:hint="eastAsia" w:ascii="仿宋_GB2312" w:hAnsi="宋体" w:eastAsia="仿宋_GB2312" w:cs="宋体"/>
          <w:sz w:val="32"/>
          <w:szCs w:val="32"/>
        </w:rPr>
      </w:pPr>
      <w:r>
        <w:rPr>
          <w:rFonts w:hint="eastAsia" w:ascii="楷体_GB2312" w:hAnsi="宋体" w:eastAsia="楷体_GB2312" w:cs="宋体"/>
          <w:b/>
          <w:bCs/>
          <w:sz w:val="32"/>
          <w:szCs w:val="32"/>
        </w:rPr>
        <w:t>（一）</w:t>
      </w:r>
      <w:r>
        <w:rPr>
          <w:rFonts w:hint="eastAsia" w:ascii="仿宋_GB2312" w:hAnsi="宋体" w:eastAsia="仿宋_GB2312" w:cs="宋体"/>
          <w:sz w:val="32"/>
          <w:szCs w:val="32"/>
        </w:rPr>
        <w:t>部门基本情况</w:t>
      </w:r>
    </w:p>
    <w:p>
      <w:pPr>
        <w:tabs>
          <w:tab w:val="left" w:pos="6870"/>
        </w:tabs>
        <w:spacing w:after="0" w:line="560" w:lineRule="exact"/>
        <w:ind w:firstLine="643" w:firstLineChars="200"/>
        <w:rPr>
          <w:rFonts w:hint="eastAsia" w:ascii="仿宋_GB2312" w:hAnsi="宋体" w:eastAsia="仿宋_GB2312" w:cs="宋体"/>
          <w:b/>
          <w:sz w:val="32"/>
          <w:szCs w:val="32"/>
        </w:rPr>
      </w:pPr>
      <w:r>
        <w:rPr>
          <w:rFonts w:hint="eastAsia" w:ascii="仿宋_GB2312" w:hAnsi="宋体" w:eastAsia="仿宋_GB2312" w:cs="宋体"/>
          <w:b/>
          <w:sz w:val="32"/>
          <w:szCs w:val="32"/>
        </w:rPr>
        <w:t>1.机构设置</w:t>
      </w:r>
    </w:p>
    <w:p>
      <w:pPr>
        <w:spacing w:after="0" w:line="560" w:lineRule="exact"/>
        <w:ind w:firstLine="640" w:firstLineChars="200"/>
        <w:rPr>
          <w:rFonts w:ascii="仿宋" w:hAnsi="仿宋" w:eastAsia="仿宋" w:cs="仿宋"/>
          <w:bCs/>
          <w:color w:val="000000"/>
          <w:sz w:val="32"/>
          <w:szCs w:val="32"/>
        </w:rPr>
      </w:pPr>
      <w:r>
        <w:rPr>
          <w:rFonts w:hint="eastAsia" w:ascii="仿宋" w:hAnsi="仿宋" w:eastAsia="仿宋" w:cs="仿宋"/>
          <w:bCs/>
          <w:color w:val="000000"/>
          <w:sz w:val="32"/>
          <w:szCs w:val="32"/>
        </w:rPr>
        <w:t>市纪委监委机关设置内设机构1</w:t>
      </w:r>
      <w:r>
        <w:rPr>
          <w:rFonts w:hint="eastAsia" w:ascii="仿宋" w:hAnsi="仿宋" w:eastAsia="仿宋" w:cs="仿宋"/>
          <w:bCs/>
          <w:color w:val="000000"/>
          <w:sz w:val="32"/>
          <w:szCs w:val="32"/>
          <w:lang w:val="en-US" w:eastAsia="zh-CN"/>
        </w:rPr>
        <w:t>5</w:t>
      </w:r>
      <w:r>
        <w:rPr>
          <w:rFonts w:hint="eastAsia" w:ascii="仿宋" w:hAnsi="仿宋" w:eastAsia="仿宋" w:cs="仿宋"/>
          <w:bCs/>
          <w:color w:val="000000"/>
          <w:sz w:val="32"/>
          <w:szCs w:val="32"/>
        </w:rPr>
        <w:t>个，依次为：办公室、组织部、宣传部、党风政风监督室、信访室、案件监督管理室、第一纪检监察室、第二纪检监察室、第三纪检监察室、第四纪检监察室、第五纪检监察室、第六纪检监察室、案件审理室、纪检监察干部监督室</w:t>
      </w:r>
      <w:r>
        <w:rPr>
          <w:rFonts w:hint="eastAsia" w:ascii="仿宋" w:hAnsi="仿宋" w:eastAsia="仿宋" w:cs="仿宋"/>
          <w:bCs/>
          <w:color w:val="000000"/>
          <w:sz w:val="32"/>
          <w:szCs w:val="32"/>
          <w:lang w:eastAsia="zh-CN"/>
        </w:rPr>
        <w:t>、</w:t>
      </w:r>
      <w:r>
        <w:rPr>
          <w:rFonts w:hint="eastAsia" w:ascii="仿宋" w:hAnsi="仿宋" w:eastAsia="仿宋" w:cs="仿宋"/>
          <w:bCs/>
          <w:color w:val="000000"/>
          <w:sz w:val="32"/>
          <w:szCs w:val="32"/>
          <w:lang w:val="en-US" w:eastAsia="zh-CN"/>
        </w:rPr>
        <w:t>纪检监察技术保障中心</w:t>
      </w:r>
      <w:r>
        <w:rPr>
          <w:rFonts w:hint="eastAsia" w:ascii="仿宋" w:hAnsi="仿宋" w:eastAsia="仿宋" w:cs="仿宋"/>
          <w:bCs/>
          <w:color w:val="000000"/>
          <w:sz w:val="32"/>
          <w:szCs w:val="32"/>
        </w:rPr>
        <w:t>。</w:t>
      </w:r>
    </w:p>
    <w:p>
      <w:pPr>
        <w:spacing w:after="0" w:line="560" w:lineRule="exact"/>
        <w:ind w:firstLine="640" w:firstLineChars="200"/>
        <w:rPr>
          <w:rFonts w:ascii="仿宋" w:hAnsi="仿宋" w:eastAsia="仿宋" w:cs="仿宋"/>
          <w:bCs/>
          <w:color w:val="000000"/>
          <w:sz w:val="32"/>
          <w:szCs w:val="32"/>
        </w:rPr>
      </w:pPr>
      <w:r>
        <w:rPr>
          <w:rFonts w:hint="eastAsia" w:ascii="仿宋" w:hAnsi="仿宋" w:eastAsia="仿宋" w:cs="仿宋"/>
          <w:bCs/>
          <w:color w:val="000000"/>
          <w:sz w:val="32"/>
          <w:szCs w:val="32"/>
        </w:rPr>
        <w:t>市纪委监委共设13个派驻纪检监察组，分别为市纪委监委驻市委办纪检监察组、市纪委监委驻市政府办纪检监察组、市纪委监委驻市委组织部纪检监察组、市纪委监委驻市委政法委纪检监察组、市纪委监委驻市公安局纪检监察组、市纪委监委驻市教育局纪检监察组、市纪委监委驻市卫健局纪检监察组、市纪委监委驻市住建局纪检监察组、市纪委监委驻市财政局纪检监察组、市纪委监委驻市交运局纪检监察组、市纪委监委驻市农业农村局纪检监察组、市纪委监委驻市自然资源局纪检监察组、市纪委监委驻市市监局纪检监察组。</w:t>
      </w:r>
    </w:p>
    <w:p>
      <w:pPr>
        <w:spacing w:after="0" w:line="560" w:lineRule="exact"/>
        <w:ind w:firstLine="640" w:firstLineChars="200"/>
        <w:rPr>
          <w:rFonts w:hint="eastAsia" w:ascii="仿宋_GB2312" w:hAnsi="仿宋" w:eastAsia="仿宋_GB2312"/>
          <w:sz w:val="32"/>
          <w:szCs w:val="32"/>
        </w:rPr>
      </w:pPr>
      <w:r>
        <w:rPr>
          <w:rFonts w:hint="eastAsia" w:ascii="仿宋" w:hAnsi="仿宋" w:eastAsia="仿宋" w:cs="仿宋"/>
          <w:bCs/>
          <w:color w:val="000000"/>
          <w:sz w:val="32"/>
          <w:szCs w:val="32"/>
        </w:rPr>
        <w:t>中共宁乡市委巡察办设在市纪委，下设2个科室，分别为综合科、业务科。</w:t>
      </w:r>
    </w:p>
    <w:p>
      <w:pPr>
        <w:spacing w:after="0" w:line="560" w:lineRule="exact"/>
        <w:ind w:firstLine="640" w:firstLineChars="200"/>
        <w:rPr>
          <w:rFonts w:hint="eastAsia" w:ascii="仿宋" w:hAnsi="仿宋" w:eastAsia="仿宋" w:cs="仿宋"/>
          <w:bCs/>
          <w:color w:val="000000"/>
          <w:sz w:val="32"/>
          <w:szCs w:val="32"/>
        </w:rPr>
      </w:pPr>
    </w:p>
    <w:p>
      <w:pPr>
        <w:tabs>
          <w:tab w:val="left" w:pos="6870"/>
        </w:tabs>
        <w:spacing w:after="0" w:line="560" w:lineRule="exact"/>
        <w:ind w:firstLine="643" w:firstLineChars="200"/>
        <w:rPr>
          <w:rFonts w:hint="eastAsia" w:ascii="仿宋_GB2312" w:hAnsi="宋体" w:eastAsia="仿宋_GB2312" w:cs="宋体"/>
          <w:b/>
          <w:sz w:val="32"/>
          <w:szCs w:val="32"/>
        </w:rPr>
      </w:pPr>
      <w:r>
        <w:rPr>
          <w:rFonts w:hint="eastAsia" w:ascii="仿宋_GB2312" w:hAnsi="宋体" w:eastAsia="仿宋_GB2312" w:cs="宋体"/>
          <w:b/>
          <w:sz w:val="32"/>
          <w:szCs w:val="32"/>
        </w:rPr>
        <w:t>2.人员情况</w:t>
      </w:r>
    </w:p>
    <w:p>
      <w:pPr>
        <w:spacing w:after="0" w:line="560" w:lineRule="exact"/>
        <w:ind w:firstLine="640" w:firstLineChars="200"/>
        <w:rPr>
          <w:rFonts w:hint="eastAsia" w:ascii="仿宋" w:hAnsi="仿宋" w:eastAsia="仿宋" w:cs="仿宋"/>
          <w:bCs/>
          <w:color w:val="000000"/>
          <w:sz w:val="32"/>
          <w:szCs w:val="32"/>
        </w:rPr>
      </w:pPr>
      <w:r>
        <w:rPr>
          <w:rFonts w:hint="eastAsia" w:ascii="仿宋" w:hAnsi="仿宋" w:eastAsia="仿宋" w:cs="仿宋"/>
          <w:bCs/>
          <w:color w:val="000000"/>
          <w:sz w:val="32"/>
          <w:szCs w:val="32"/>
        </w:rPr>
        <w:t>市纪委监委202</w:t>
      </w:r>
      <w:r>
        <w:rPr>
          <w:rFonts w:hint="eastAsia" w:ascii="仿宋" w:hAnsi="仿宋" w:eastAsia="仿宋" w:cs="仿宋"/>
          <w:bCs/>
          <w:color w:val="000000"/>
          <w:sz w:val="32"/>
          <w:szCs w:val="32"/>
          <w:lang w:val="en-US" w:eastAsia="zh-CN"/>
        </w:rPr>
        <w:t>2</w:t>
      </w:r>
      <w:r>
        <w:rPr>
          <w:rFonts w:hint="eastAsia" w:ascii="仿宋" w:hAnsi="仿宋" w:eastAsia="仿宋" w:cs="仿宋"/>
          <w:bCs/>
          <w:color w:val="000000"/>
          <w:sz w:val="32"/>
          <w:szCs w:val="32"/>
        </w:rPr>
        <w:t>年编制数为13</w:t>
      </w:r>
      <w:r>
        <w:rPr>
          <w:rFonts w:hint="eastAsia" w:ascii="仿宋" w:hAnsi="仿宋" w:eastAsia="仿宋" w:cs="仿宋"/>
          <w:bCs/>
          <w:color w:val="000000"/>
          <w:sz w:val="32"/>
          <w:szCs w:val="32"/>
          <w:lang w:val="en-US" w:eastAsia="zh-CN"/>
        </w:rPr>
        <w:t>9</w:t>
      </w:r>
      <w:r>
        <w:rPr>
          <w:rFonts w:hint="eastAsia" w:ascii="仿宋" w:hAnsi="仿宋" w:eastAsia="仿宋" w:cs="仿宋"/>
          <w:bCs/>
          <w:color w:val="000000"/>
          <w:sz w:val="32"/>
          <w:szCs w:val="32"/>
        </w:rPr>
        <w:t>个，12月份实有在职人员</w:t>
      </w:r>
      <w:r>
        <w:rPr>
          <w:rFonts w:hint="eastAsia" w:ascii="仿宋" w:hAnsi="仿宋" w:eastAsia="仿宋" w:cs="仿宋"/>
          <w:bCs/>
          <w:color w:val="000000"/>
          <w:sz w:val="32"/>
          <w:szCs w:val="32"/>
          <w:lang w:val="en-US" w:eastAsia="zh-CN"/>
        </w:rPr>
        <w:t>118</w:t>
      </w:r>
      <w:r>
        <w:rPr>
          <w:rFonts w:hint="eastAsia" w:ascii="仿宋" w:hAnsi="仿宋" w:eastAsia="仿宋" w:cs="仿宋"/>
          <w:bCs/>
          <w:color w:val="000000"/>
          <w:sz w:val="32"/>
          <w:szCs w:val="32"/>
        </w:rPr>
        <w:t>人，其中行政编制11</w:t>
      </w:r>
      <w:r>
        <w:rPr>
          <w:rFonts w:hint="eastAsia" w:ascii="仿宋" w:hAnsi="仿宋" w:eastAsia="仿宋" w:cs="仿宋"/>
          <w:bCs/>
          <w:color w:val="000000"/>
          <w:sz w:val="32"/>
          <w:szCs w:val="32"/>
          <w:lang w:val="en-US" w:eastAsia="zh-CN"/>
        </w:rPr>
        <w:t>4</w:t>
      </w:r>
      <w:r>
        <w:rPr>
          <w:rFonts w:hint="eastAsia" w:ascii="仿宋" w:hAnsi="仿宋" w:eastAsia="仿宋" w:cs="仿宋"/>
          <w:bCs/>
          <w:color w:val="000000"/>
          <w:sz w:val="32"/>
          <w:szCs w:val="32"/>
        </w:rPr>
        <w:t>人，工勤编制1人，事业编制</w:t>
      </w:r>
      <w:r>
        <w:rPr>
          <w:rFonts w:hint="eastAsia" w:ascii="仿宋" w:hAnsi="仿宋" w:eastAsia="仿宋" w:cs="仿宋"/>
          <w:bCs/>
          <w:color w:val="000000"/>
          <w:sz w:val="32"/>
          <w:szCs w:val="32"/>
          <w:lang w:val="en-US" w:eastAsia="zh-CN"/>
        </w:rPr>
        <w:t>3</w:t>
      </w:r>
      <w:r>
        <w:rPr>
          <w:rFonts w:hint="eastAsia" w:ascii="仿宋" w:hAnsi="仿宋" w:eastAsia="仿宋" w:cs="仿宋"/>
          <w:bCs/>
          <w:color w:val="000000"/>
          <w:sz w:val="32"/>
          <w:szCs w:val="32"/>
        </w:rPr>
        <w:t>人。</w:t>
      </w:r>
    </w:p>
    <w:p>
      <w:pPr>
        <w:tabs>
          <w:tab w:val="left" w:pos="6870"/>
        </w:tabs>
        <w:spacing w:after="0" w:line="560" w:lineRule="exact"/>
        <w:ind w:firstLine="643" w:firstLineChars="200"/>
        <w:rPr>
          <w:rFonts w:hint="eastAsia" w:ascii="仿宋_GB2312" w:hAnsi="宋体" w:eastAsia="仿宋_GB2312" w:cs="宋体"/>
          <w:b/>
          <w:sz w:val="32"/>
          <w:szCs w:val="32"/>
        </w:rPr>
      </w:pPr>
      <w:r>
        <w:rPr>
          <w:rFonts w:hint="eastAsia" w:ascii="仿宋_GB2312" w:hAnsi="宋体" w:eastAsia="仿宋_GB2312" w:cs="宋体"/>
          <w:b/>
          <w:sz w:val="32"/>
          <w:szCs w:val="32"/>
        </w:rPr>
        <w:t>3.职能职责</w:t>
      </w:r>
    </w:p>
    <w:p>
      <w:pPr>
        <w:spacing w:after="0" w:line="560" w:lineRule="exact"/>
        <w:ind w:firstLine="672" w:firstLineChars="200"/>
        <w:rPr>
          <w:rFonts w:ascii="仿宋_GB2312" w:eastAsia="仿宋_GB2312"/>
          <w:spacing w:val="8"/>
          <w:sz w:val="32"/>
          <w:szCs w:val="32"/>
        </w:rPr>
      </w:pPr>
      <w:r>
        <w:rPr>
          <w:rFonts w:hint="eastAsia" w:ascii="仿宋_GB2312" w:eastAsia="仿宋_GB2312"/>
          <w:spacing w:val="8"/>
          <w:sz w:val="32"/>
          <w:szCs w:val="32"/>
        </w:rPr>
        <w:t>负责全市党的纪律检查工作。贯彻落实党中央、中央纪委、省委、省纪委、长沙市委、长沙市纪委和市委关于纪律检查工作的决定，维护党的章程和其他党内法规，检查党的路线方针政策和决议的执行情况，协助市委推进全面从严治党、加强党风建设和组织协调反腐败工作。</w:t>
      </w:r>
    </w:p>
    <w:p>
      <w:pPr>
        <w:spacing w:after="0" w:line="560" w:lineRule="exact"/>
        <w:ind w:firstLine="672" w:firstLineChars="200"/>
        <w:rPr>
          <w:rFonts w:ascii="仿宋_GB2312" w:eastAsia="仿宋_GB2312"/>
          <w:spacing w:val="8"/>
          <w:sz w:val="32"/>
          <w:szCs w:val="32"/>
        </w:rPr>
      </w:pPr>
      <w:r>
        <w:rPr>
          <w:rFonts w:hint="eastAsia" w:ascii="仿宋_GB2312" w:eastAsia="仿宋_GB2312"/>
          <w:spacing w:val="8"/>
          <w:sz w:val="32"/>
          <w:szCs w:val="32"/>
        </w:rPr>
        <w:t>依照党的章程和其他党内法规履行监督、执纪、问责职责。负责经常对党员进行遵守纪律的教育，作出关于维护党纪的决定；对市委工作部门、市委批准设立的党组（党委），乡镇（街道）党（工）委、纪（工）委等党的组织和市委管理的党员领导干部履行职责、行使权力进行监督，受理处置党员群众检举举报，开展谈话提醒、约谈函询；检查和处理上述党的组织和党员违反党的章程和其他党内法规的比较重要或者复杂的案件，决定或者取消对这些案件中的党员的处分；进行问责或者提出责任追究的建议；受理党员的控告和申诉；保障党员的权利。</w:t>
      </w:r>
    </w:p>
    <w:p>
      <w:pPr>
        <w:spacing w:after="0" w:line="560" w:lineRule="exact"/>
        <w:ind w:firstLine="672" w:firstLineChars="200"/>
        <w:rPr>
          <w:rFonts w:ascii="仿宋_GB2312" w:eastAsia="仿宋_GB2312"/>
          <w:color w:val="FF0000"/>
          <w:spacing w:val="8"/>
          <w:sz w:val="32"/>
          <w:szCs w:val="32"/>
        </w:rPr>
      </w:pPr>
      <w:r>
        <w:rPr>
          <w:rFonts w:hint="eastAsia" w:ascii="仿宋_GB2312" w:eastAsia="仿宋_GB2312"/>
          <w:spacing w:val="8"/>
          <w:sz w:val="32"/>
          <w:szCs w:val="32"/>
        </w:rPr>
        <w:t>在市委领导下组织开展巡察工作。</w:t>
      </w:r>
    </w:p>
    <w:p>
      <w:pPr>
        <w:spacing w:after="0" w:line="560" w:lineRule="exact"/>
        <w:ind w:firstLine="672" w:firstLineChars="200"/>
        <w:rPr>
          <w:rFonts w:ascii="仿宋_GB2312" w:eastAsia="仿宋_GB2312"/>
          <w:spacing w:val="8"/>
          <w:sz w:val="32"/>
          <w:szCs w:val="32"/>
        </w:rPr>
      </w:pPr>
      <w:r>
        <w:rPr>
          <w:rFonts w:hint="eastAsia" w:ascii="仿宋_GB2312" w:eastAsia="仿宋_GB2312"/>
          <w:spacing w:val="8"/>
          <w:sz w:val="32"/>
          <w:szCs w:val="32"/>
        </w:rPr>
        <w:t>负责全市监察工作。贯彻落实党中央、中央纪委国家监委、省纪委省监委、长沙市纪委长沙市监委和市委关于监察工作的决定，维护宪法法律，依法对市委管理的行使公权力的公职人员进行监察，调查职务违法和职务犯罪，开展廉政建设和反腐败工作。</w:t>
      </w:r>
    </w:p>
    <w:p>
      <w:pPr>
        <w:spacing w:after="0" w:line="560" w:lineRule="exact"/>
        <w:ind w:firstLine="672" w:firstLineChars="200"/>
        <w:rPr>
          <w:rFonts w:ascii="仿宋_GB2312" w:eastAsia="仿宋_GB2312"/>
          <w:spacing w:val="8"/>
          <w:sz w:val="32"/>
          <w:szCs w:val="32"/>
        </w:rPr>
      </w:pPr>
      <w:r>
        <w:rPr>
          <w:rFonts w:hint="eastAsia" w:ascii="仿宋_GB2312" w:eastAsia="仿宋_GB2312"/>
          <w:spacing w:val="8"/>
          <w:sz w:val="32"/>
          <w:szCs w:val="32"/>
        </w:rPr>
        <w:t>依照法律规定履行监督、调查、处置职责。推动开展廉政教育，对市委管理的行使公权力的公职人员依法履职、秉公用权、廉洁从政从业以及道德操守情况进行监督检查；对涉嫌贪污贿赂、滥用职权、玩忽职守、权力寻租、利益输送、徇私舞弊以及浪费国家资财等职务违法和职务犯罪进行调查；对违法的公职人员依法作出政务处分决定；对履行职责不力、失职失责的领导人员进行问责；对涉嫌职务犯罪的，将调查结果移送人民检察院依法审查、提起公诉；向监察对象所在单位提出监察建议。</w:t>
      </w:r>
    </w:p>
    <w:p>
      <w:pPr>
        <w:spacing w:after="0" w:line="560" w:lineRule="exact"/>
        <w:ind w:firstLine="672" w:firstLineChars="200"/>
        <w:rPr>
          <w:rFonts w:ascii="仿宋_GB2312" w:eastAsia="仿宋_GB2312"/>
          <w:spacing w:val="8"/>
          <w:sz w:val="32"/>
          <w:szCs w:val="32"/>
        </w:rPr>
      </w:pPr>
      <w:r>
        <w:rPr>
          <w:rFonts w:hint="eastAsia" w:ascii="仿宋_GB2312" w:eastAsia="仿宋_GB2312"/>
          <w:spacing w:val="8"/>
          <w:sz w:val="32"/>
          <w:szCs w:val="32"/>
        </w:rPr>
        <w:t>负责组织协调全市全面从严治党、党风廉政建设和反腐败宣传教育工作。</w:t>
      </w:r>
    </w:p>
    <w:p>
      <w:pPr>
        <w:spacing w:after="0" w:line="560" w:lineRule="exact"/>
        <w:ind w:firstLine="672" w:firstLineChars="200"/>
        <w:rPr>
          <w:rFonts w:ascii="仿宋_GB2312" w:eastAsia="仿宋_GB2312"/>
          <w:spacing w:val="8"/>
          <w:sz w:val="32"/>
          <w:szCs w:val="32"/>
        </w:rPr>
      </w:pPr>
      <w:r>
        <w:rPr>
          <w:rFonts w:hint="eastAsia" w:ascii="仿宋_GB2312" w:eastAsia="仿宋_GB2312"/>
          <w:spacing w:val="8"/>
          <w:sz w:val="32"/>
          <w:szCs w:val="32"/>
        </w:rPr>
        <w:t>负责综合分析全市全面从严治党、党风廉政建设和反腐败工作情况，对纪检监察工作重要理论及实践问题进行调查研究；参与起草制定本市规范性文件。</w:t>
      </w:r>
    </w:p>
    <w:p>
      <w:pPr>
        <w:spacing w:after="0" w:line="560" w:lineRule="exact"/>
        <w:ind w:firstLine="672" w:firstLineChars="200"/>
        <w:rPr>
          <w:rFonts w:ascii="仿宋_GB2312" w:eastAsia="仿宋_GB2312"/>
          <w:spacing w:val="8"/>
          <w:sz w:val="32"/>
          <w:szCs w:val="32"/>
        </w:rPr>
      </w:pPr>
      <w:r>
        <w:rPr>
          <w:rFonts w:hint="eastAsia" w:ascii="仿宋_GB2312" w:eastAsia="仿宋_GB2312"/>
          <w:spacing w:val="8"/>
          <w:sz w:val="32"/>
          <w:szCs w:val="32"/>
        </w:rPr>
        <w:t>负责协调落实中央纪委国家监委、省纪委省监委、长沙市纪委长沙市监委交办的反腐败国际交流、合作等方面事宜；加强对全市反腐败国际追逃追赃和防逃工作的组织协调，督促有关单位做好相关工作。</w:t>
      </w:r>
    </w:p>
    <w:p>
      <w:pPr>
        <w:spacing w:after="0" w:line="560" w:lineRule="exact"/>
        <w:ind w:firstLine="672" w:firstLineChars="200"/>
        <w:rPr>
          <w:rFonts w:ascii="仿宋_GB2312" w:eastAsia="仿宋_GB2312"/>
          <w:spacing w:val="8"/>
          <w:sz w:val="32"/>
          <w:szCs w:val="32"/>
        </w:rPr>
      </w:pPr>
      <w:r>
        <w:rPr>
          <w:rFonts w:hint="eastAsia" w:ascii="仿宋_GB2312" w:eastAsia="仿宋_GB2312"/>
          <w:spacing w:val="8"/>
          <w:sz w:val="32"/>
          <w:szCs w:val="32"/>
        </w:rPr>
        <w:t>根据干部管理权限，负责全市纪检监察系统领导班子建设、干部队伍建设和组织建设的综合规划、政策研究、制度建设和业务指导；会同有关方面做好市纪委市监委派驻（派出）机构、乡镇（街道）纪检监察机构、市管企业纪检监察机构班子建设有关工作；组织全市纪检监察系统干部教育培训工作等。</w:t>
      </w:r>
    </w:p>
    <w:p>
      <w:pPr>
        <w:spacing w:after="0" w:line="560" w:lineRule="exact"/>
        <w:ind w:firstLine="672" w:firstLineChars="200"/>
        <w:rPr>
          <w:rFonts w:ascii="Times New Roman" w:hAnsi="Times New Roman" w:eastAsia="楷体_GB2312"/>
          <w:b/>
          <w:bCs/>
          <w:sz w:val="32"/>
          <w:szCs w:val="32"/>
          <w:lang w:val="zh-CN"/>
        </w:rPr>
      </w:pPr>
      <w:r>
        <w:rPr>
          <w:rFonts w:hint="eastAsia" w:ascii="仿宋_GB2312" w:eastAsia="仿宋_GB2312"/>
          <w:spacing w:val="8"/>
          <w:sz w:val="32"/>
          <w:szCs w:val="32"/>
        </w:rPr>
        <w:t>完成中央纪委国家监委、省纪委省监委、长沙市纪委长沙市监委和市委交办的其他任务。</w:t>
      </w:r>
    </w:p>
    <w:p>
      <w:pPr>
        <w:spacing w:after="0" w:line="560" w:lineRule="exact"/>
        <w:ind w:firstLine="643" w:firstLineChars="200"/>
        <w:rPr>
          <w:rFonts w:hint="eastAsia" w:ascii="仿宋_GB2312" w:hAnsi="宋体" w:eastAsia="仿宋_GB2312" w:cs="宋体"/>
          <w:sz w:val="32"/>
          <w:szCs w:val="32"/>
        </w:rPr>
      </w:pPr>
      <w:r>
        <w:rPr>
          <w:rFonts w:hint="eastAsia" w:ascii="楷体_GB2312" w:hAnsi="宋体" w:eastAsia="楷体_GB2312" w:cs="宋体"/>
          <w:b/>
          <w:bCs/>
          <w:sz w:val="32"/>
          <w:szCs w:val="32"/>
        </w:rPr>
        <w:t>（二）</w:t>
      </w:r>
      <w:r>
        <w:rPr>
          <w:rFonts w:hint="eastAsia" w:ascii="仿宋_GB2312" w:hAnsi="宋体" w:eastAsia="仿宋_GB2312" w:cs="宋体"/>
          <w:sz w:val="32"/>
          <w:szCs w:val="32"/>
        </w:rPr>
        <w:t>部门整体支出规模、使用方向和主要内容、涉及范围等。</w:t>
      </w:r>
    </w:p>
    <w:p>
      <w:pPr>
        <w:spacing w:after="0" w:line="560" w:lineRule="exact"/>
        <w:ind w:firstLine="640" w:firstLineChars="200"/>
        <w:rPr>
          <w:rFonts w:ascii="仿宋_GB2312" w:hAnsi="仿宋" w:eastAsia="仿宋_GB2312"/>
          <w:sz w:val="32"/>
          <w:szCs w:val="32"/>
        </w:rPr>
      </w:pPr>
      <w:r>
        <w:rPr>
          <w:rFonts w:hint="eastAsia" w:ascii="仿宋_GB2312" w:hAnsi="宋体" w:eastAsia="仿宋_GB2312" w:cs="宋体"/>
          <w:sz w:val="32"/>
          <w:szCs w:val="32"/>
        </w:rPr>
        <w:t>市纪委监委202</w:t>
      </w:r>
      <w:r>
        <w:rPr>
          <w:rFonts w:hint="eastAsia" w:ascii="仿宋_GB2312" w:hAnsi="宋体" w:eastAsia="仿宋_GB2312" w:cs="宋体"/>
          <w:sz w:val="32"/>
          <w:szCs w:val="32"/>
          <w:lang w:val="en-US" w:eastAsia="zh-CN"/>
        </w:rPr>
        <w:t>2</w:t>
      </w:r>
      <w:r>
        <w:rPr>
          <w:rFonts w:hint="eastAsia" w:ascii="仿宋_GB2312" w:hAnsi="宋体" w:eastAsia="仿宋_GB2312" w:cs="宋体"/>
          <w:sz w:val="32"/>
          <w:szCs w:val="32"/>
        </w:rPr>
        <w:t>年</w:t>
      </w:r>
      <w:r>
        <w:rPr>
          <w:rFonts w:hint="eastAsia" w:ascii="仿宋_GB2312" w:hAnsi="仿宋" w:eastAsia="仿宋_GB2312"/>
          <w:sz w:val="32"/>
          <w:szCs w:val="32"/>
        </w:rPr>
        <w:t>预算收入</w:t>
      </w:r>
      <w:r>
        <w:rPr>
          <w:rFonts w:hint="eastAsia" w:ascii="仿宋_GB2312" w:hAnsi="仿宋" w:eastAsia="仿宋_GB2312"/>
          <w:sz w:val="32"/>
          <w:szCs w:val="32"/>
          <w:lang w:val="en-US" w:eastAsia="zh-CN"/>
        </w:rPr>
        <w:t>4222.17</w:t>
      </w:r>
      <w:r>
        <w:rPr>
          <w:rFonts w:hint="eastAsia" w:ascii="仿宋_GB2312" w:hAnsi="仿宋" w:eastAsia="仿宋_GB2312"/>
          <w:sz w:val="32"/>
          <w:szCs w:val="32"/>
        </w:rPr>
        <w:t>万元，预算支出</w:t>
      </w:r>
      <w:r>
        <w:rPr>
          <w:rFonts w:hint="eastAsia" w:ascii="仿宋_GB2312" w:hAnsi="仿宋" w:eastAsia="仿宋_GB2312"/>
          <w:sz w:val="32"/>
          <w:szCs w:val="32"/>
          <w:lang w:val="en-US" w:eastAsia="zh-CN"/>
        </w:rPr>
        <w:t>4222.17</w:t>
      </w:r>
      <w:r>
        <w:rPr>
          <w:rFonts w:hint="eastAsia" w:ascii="仿宋_GB2312" w:hAnsi="仿宋" w:eastAsia="仿宋_GB2312"/>
          <w:sz w:val="32"/>
          <w:szCs w:val="32"/>
        </w:rPr>
        <w:t>万元。其中人员经费</w:t>
      </w:r>
      <w:r>
        <w:rPr>
          <w:rFonts w:hint="eastAsia" w:ascii="仿宋_GB2312" w:hAnsi="仿宋" w:eastAsia="仿宋_GB2312"/>
          <w:sz w:val="32"/>
          <w:szCs w:val="32"/>
          <w:lang w:val="en-US" w:eastAsia="zh-CN"/>
        </w:rPr>
        <w:t>2481.96</w:t>
      </w:r>
      <w:r>
        <w:rPr>
          <w:rFonts w:hint="eastAsia" w:ascii="仿宋_GB2312" w:hAnsi="仿宋" w:eastAsia="仿宋_GB2312"/>
          <w:sz w:val="32"/>
          <w:szCs w:val="32"/>
        </w:rPr>
        <w:t>万元，公用经费</w:t>
      </w:r>
      <w:r>
        <w:rPr>
          <w:rFonts w:hint="eastAsia" w:ascii="仿宋_GB2312" w:hAnsi="仿宋" w:eastAsia="仿宋_GB2312"/>
          <w:sz w:val="32"/>
          <w:szCs w:val="32"/>
          <w:lang w:val="en-US" w:eastAsia="zh-CN"/>
        </w:rPr>
        <w:t>359.25</w:t>
      </w:r>
      <w:r>
        <w:rPr>
          <w:rFonts w:hint="eastAsia" w:ascii="仿宋_GB2312" w:hAnsi="仿宋" w:eastAsia="仿宋_GB2312"/>
          <w:sz w:val="32"/>
          <w:szCs w:val="32"/>
        </w:rPr>
        <w:t>万元，项目支出</w:t>
      </w:r>
      <w:r>
        <w:rPr>
          <w:rFonts w:hint="eastAsia" w:ascii="仿宋_GB2312" w:hAnsi="仿宋" w:eastAsia="仿宋_GB2312"/>
          <w:sz w:val="32"/>
          <w:szCs w:val="32"/>
          <w:lang w:val="en-US" w:eastAsia="zh-CN"/>
        </w:rPr>
        <w:t>1380.96</w:t>
      </w:r>
      <w:r>
        <w:rPr>
          <w:rFonts w:hint="eastAsia" w:ascii="仿宋_GB2312" w:hAnsi="仿宋" w:eastAsia="仿宋_GB2312"/>
          <w:sz w:val="32"/>
          <w:szCs w:val="32"/>
        </w:rPr>
        <w:t>万元。项目支出主要包括纪检监察执法办案支出、廉政文化周支出、巡察专项经费（包括村级巡察）以及智慧纪检项目支出。</w:t>
      </w:r>
    </w:p>
    <w:p>
      <w:pPr>
        <w:spacing w:after="0" w:line="560" w:lineRule="exact"/>
        <w:ind w:firstLine="640" w:firstLineChars="200"/>
        <w:rPr>
          <w:rFonts w:hint="eastAsia" w:ascii="黑体" w:hAnsi="黑体" w:eastAsia="黑体" w:cs="宋体"/>
          <w:sz w:val="32"/>
          <w:szCs w:val="32"/>
        </w:rPr>
      </w:pPr>
      <w:r>
        <w:rPr>
          <w:rFonts w:hint="eastAsia" w:ascii="黑体" w:hAnsi="黑体" w:eastAsia="黑体" w:cs="宋体"/>
          <w:sz w:val="32"/>
          <w:szCs w:val="32"/>
        </w:rPr>
        <w:t>二、部门整体支出管理及使用情况</w:t>
      </w:r>
    </w:p>
    <w:p>
      <w:pPr>
        <w:spacing w:after="0" w:line="560" w:lineRule="exact"/>
        <w:ind w:firstLine="643" w:firstLineChars="200"/>
        <w:rPr>
          <w:rFonts w:hint="eastAsia" w:ascii="黑体" w:hAnsi="黑体" w:eastAsia="黑体" w:cs="宋体"/>
          <w:sz w:val="32"/>
          <w:szCs w:val="32"/>
        </w:rPr>
      </w:pPr>
      <w:r>
        <w:rPr>
          <w:rFonts w:hint="eastAsia" w:ascii="楷体_GB2312" w:hAnsi="宋体" w:eastAsia="楷体_GB2312" w:cs="宋体"/>
          <w:b/>
          <w:bCs/>
          <w:sz w:val="32"/>
          <w:szCs w:val="32"/>
        </w:rPr>
        <w:t>（一）基本支出</w:t>
      </w:r>
    </w:p>
    <w:p>
      <w:pPr>
        <w:keepNext w:val="0"/>
        <w:keepLines w:val="0"/>
        <w:pageBreakBefore w:val="0"/>
        <w:kinsoku/>
        <w:wordWrap/>
        <w:overflowPunct/>
        <w:topLinePunct w:val="0"/>
        <w:autoSpaceDE/>
        <w:autoSpaceDN/>
        <w:bidi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1.“三公”经费支出情况：</w:t>
      </w:r>
      <w:r>
        <w:rPr>
          <w:rFonts w:hint="eastAsia" w:ascii="仿宋_GB2312" w:hAnsi="仿宋_GB2312" w:eastAsia="仿宋_GB2312" w:cs="仿宋"/>
          <w:color w:val="000000"/>
          <w:sz w:val="32"/>
          <w:szCs w:val="32"/>
        </w:rPr>
        <w:t>“三公”经费上年度总额</w:t>
      </w:r>
      <w:r>
        <w:rPr>
          <w:rFonts w:hint="eastAsia" w:ascii="仿宋_GB2312" w:hAnsi="仿宋_GB2312" w:eastAsia="仿宋_GB2312" w:cs="仿宋"/>
          <w:color w:val="000000"/>
          <w:sz w:val="32"/>
          <w:szCs w:val="32"/>
          <w:lang w:val="en-US" w:eastAsia="zh-CN"/>
        </w:rPr>
        <w:t>100.11</w:t>
      </w:r>
      <w:r>
        <w:rPr>
          <w:rFonts w:hint="eastAsia" w:ascii="仿宋_GB2312" w:hAnsi="仿宋_GB2312" w:eastAsia="仿宋_GB2312" w:cs="仿宋"/>
          <w:color w:val="000000"/>
          <w:sz w:val="32"/>
          <w:szCs w:val="32"/>
        </w:rPr>
        <w:t>万元，本年度总额</w:t>
      </w:r>
      <w:r>
        <w:rPr>
          <w:rFonts w:hint="eastAsia" w:ascii="仿宋_GB2312" w:hAnsi="仿宋_GB2312" w:eastAsia="仿宋_GB2312" w:cs="仿宋"/>
          <w:color w:val="000000"/>
          <w:sz w:val="32"/>
          <w:szCs w:val="32"/>
          <w:lang w:val="en-US" w:eastAsia="zh-CN"/>
        </w:rPr>
        <w:t>42.41</w:t>
      </w:r>
      <w:r>
        <w:rPr>
          <w:rFonts w:hint="eastAsia" w:ascii="仿宋_GB2312" w:hAnsi="仿宋_GB2312" w:eastAsia="仿宋_GB2312" w:cs="仿宋"/>
          <w:color w:val="000000"/>
          <w:sz w:val="32"/>
          <w:szCs w:val="32"/>
        </w:rPr>
        <w:t>万元，比上年度</w:t>
      </w:r>
      <w:r>
        <w:rPr>
          <w:rFonts w:hint="eastAsia" w:ascii="仿宋_GB2312" w:hAnsi="仿宋_GB2312" w:eastAsia="仿宋_GB2312" w:cs="仿宋"/>
          <w:color w:val="000000"/>
          <w:sz w:val="32"/>
          <w:szCs w:val="32"/>
          <w:lang w:val="en-US" w:eastAsia="zh-CN"/>
        </w:rPr>
        <w:t>减少57.7</w:t>
      </w:r>
      <w:r>
        <w:rPr>
          <w:rFonts w:hint="eastAsia" w:ascii="仿宋_GB2312" w:hAnsi="仿宋_GB2312" w:eastAsia="仿宋_GB2312" w:cs="仿宋"/>
          <w:color w:val="000000"/>
          <w:sz w:val="32"/>
          <w:szCs w:val="32"/>
        </w:rPr>
        <w:t>万元，</w:t>
      </w:r>
      <w:r>
        <w:rPr>
          <w:rFonts w:hint="eastAsia" w:ascii="仿宋_GB2312" w:hAnsi="仿宋_GB2312" w:eastAsia="仿宋_GB2312" w:cs="仿宋"/>
          <w:color w:val="000000"/>
          <w:sz w:val="32"/>
          <w:szCs w:val="32"/>
          <w:lang w:val="en-US" w:eastAsia="zh-CN"/>
        </w:rPr>
        <w:t>降幅57.64</w:t>
      </w:r>
      <w:r>
        <w:rPr>
          <w:rFonts w:hint="eastAsia" w:ascii="仿宋_GB2312" w:hAnsi="仿宋_GB2312" w:eastAsia="仿宋_GB2312" w:cs="仿宋"/>
          <w:color w:val="000000"/>
          <w:sz w:val="32"/>
          <w:szCs w:val="32"/>
        </w:rPr>
        <w:t>%。</w:t>
      </w:r>
      <w:r>
        <w:rPr>
          <w:rFonts w:hint="eastAsia" w:ascii="仿宋_GB2312" w:hAnsi="仿宋_GB2312" w:eastAsia="仿宋_GB2312" w:cs="仿宋"/>
          <w:color w:val="000000"/>
          <w:sz w:val="32"/>
          <w:szCs w:val="32"/>
          <w:lang w:val="en-US" w:eastAsia="zh-CN"/>
        </w:rPr>
        <w:t>减少的部分是因为上年度购置了公务用车。公务用车运行维护费比对，上年度总支出为25.55万元，今年与上年同比增加了16.86万元，增幅65.99%。</w:t>
      </w:r>
      <w:r>
        <w:rPr>
          <w:rFonts w:hint="eastAsia" w:ascii="仿宋_GB2312" w:hAnsi="仿宋_GB2312" w:eastAsia="仿宋_GB2312" w:cs="仿宋"/>
          <w:color w:val="000000"/>
          <w:sz w:val="32"/>
          <w:szCs w:val="32"/>
        </w:rPr>
        <w:t>其中公务接待费比上年度减少</w:t>
      </w:r>
      <w:r>
        <w:rPr>
          <w:rFonts w:hint="eastAsia" w:ascii="仿宋_GB2312" w:hAnsi="仿宋_GB2312" w:eastAsia="仿宋_GB2312" w:cs="仿宋"/>
          <w:color w:val="000000"/>
          <w:sz w:val="32"/>
          <w:szCs w:val="32"/>
          <w:lang w:val="en-US" w:eastAsia="zh-CN"/>
        </w:rPr>
        <w:t>11.41万</w:t>
      </w:r>
      <w:r>
        <w:rPr>
          <w:rFonts w:hint="eastAsia" w:ascii="仿宋_GB2312" w:hAnsi="仿宋_GB2312" w:eastAsia="仿宋_GB2312" w:cs="仿宋"/>
          <w:color w:val="000000"/>
          <w:sz w:val="32"/>
          <w:szCs w:val="32"/>
        </w:rPr>
        <w:t>元，降幅</w:t>
      </w:r>
      <w:r>
        <w:rPr>
          <w:rFonts w:hint="eastAsia" w:ascii="仿宋_GB2312" w:hAnsi="仿宋_GB2312" w:eastAsia="仿宋_GB2312" w:cs="仿宋"/>
          <w:color w:val="000000"/>
          <w:sz w:val="32"/>
          <w:szCs w:val="32"/>
          <w:lang w:val="en-US" w:eastAsia="zh-CN"/>
        </w:rPr>
        <w:t>82.09</w:t>
      </w:r>
      <w:r>
        <w:rPr>
          <w:rFonts w:hint="eastAsia" w:ascii="仿宋_GB2312" w:hAnsi="仿宋_GB2312" w:eastAsia="仿宋_GB2312" w:cs="仿宋"/>
          <w:color w:val="000000"/>
          <w:sz w:val="32"/>
          <w:szCs w:val="32"/>
        </w:rPr>
        <w:t>%。</w:t>
      </w:r>
    </w:p>
    <w:p>
      <w:pPr>
        <w:keepNext w:val="0"/>
        <w:keepLines w:val="0"/>
        <w:pageBreakBefore w:val="0"/>
        <w:kinsoku/>
        <w:wordWrap/>
        <w:overflowPunct/>
        <w:topLinePunct w:val="0"/>
        <w:autoSpaceDE/>
        <w:autoSpaceDN/>
        <w:bidi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2.会议费支出情况：会议费上年度总支出</w:t>
      </w:r>
      <w:r>
        <w:rPr>
          <w:rFonts w:hint="eastAsia" w:ascii="仿宋_GB2312" w:hAnsi="仿宋" w:eastAsia="仿宋_GB2312"/>
          <w:sz w:val="32"/>
          <w:szCs w:val="32"/>
          <w:lang w:val="en-US" w:eastAsia="zh-CN"/>
        </w:rPr>
        <w:t>3.29</w:t>
      </w:r>
      <w:r>
        <w:rPr>
          <w:rFonts w:hint="eastAsia" w:ascii="仿宋_GB2312" w:hAnsi="仿宋" w:eastAsia="仿宋_GB2312"/>
          <w:sz w:val="32"/>
          <w:szCs w:val="32"/>
        </w:rPr>
        <w:t>万元，本年度总支出</w:t>
      </w:r>
      <w:r>
        <w:rPr>
          <w:rFonts w:hint="eastAsia" w:ascii="仿宋_GB2312" w:hAnsi="仿宋" w:eastAsia="仿宋_GB2312"/>
          <w:sz w:val="32"/>
          <w:szCs w:val="32"/>
          <w:lang w:val="en-US" w:eastAsia="zh-CN"/>
        </w:rPr>
        <w:t>3.26</w:t>
      </w:r>
      <w:r>
        <w:rPr>
          <w:rFonts w:hint="eastAsia" w:ascii="仿宋_GB2312" w:hAnsi="仿宋" w:eastAsia="仿宋_GB2312"/>
          <w:sz w:val="32"/>
          <w:szCs w:val="32"/>
        </w:rPr>
        <w:t>万元。主要是</w:t>
      </w:r>
      <w:r>
        <w:rPr>
          <w:rFonts w:hint="eastAsia" w:ascii="仿宋_GB2312" w:hAnsi="仿宋" w:eastAsia="仿宋_GB2312"/>
          <w:sz w:val="32"/>
          <w:szCs w:val="32"/>
          <w:lang w:val="en-US" w:eastAsia="zh-CN"/>
        </w:rPr>
        <w:t>贯彻落实中央八项规定精神</w:t>
      </w:r>
      <w:r>
        <w:rPr>
          <w:rFonts w:hint="eastAsia" w:ascii="仿宋_GB2312" w:hAnsi="仿宋" w:eastAsia="仿宋_GB2312"/>
          <w:sz w:val="32"/>
          <w:szCs w:val="32"/>
        </w:rPr>
        <w:t>，</w:t>
      </w:r>
      <w:r>
        <w:rPr>
          <w:rFonts w:hint="eastAsia" w:ascii="仿宋_GB2312" w:hAnsi="仿宋" w:eastAsia="仿宋_GB2312"/>
          <w:sz w:val="32"/>
          <w:szCs w:val="32"/>
          <w:lang w:val="en-US" w:eastAsia="zh-CN"/>
        </w:rPr>
        <w:t>精简文山会海的成果</w:t>
      </w:r>
      <w:r>
        <w:rPr>
          <w:rFonts w:hint="eastAsia" w:ascii="仿宋_GB2312" w:hAnsi="仿宋" w:eastAsia="仿宋_GB2312"/>
          <w:sz w:val="32"/>
          <w:szCs w:val="32"/>
        </w:rPr>
        <w:t>。</w:t>
      </w:r>
    </w:p>
    <w:p>
      <w:pPr>
        <w:spacing w:after="0"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3.培训费支出情况：培训费上年度总支出</w:t>
      </w:r>
      <w:r>
        <w:rPr>
          <w:rFonts w:hint="eastAsia" w:ascii="仿宋_GB2312" w:hAnsi="仿宋" w:eastAsia="仿宋_GB2312"/>
          <w:sz w:val="32"/>
          <w:szCs w:val="32"/>
          <w:lang w:val="en-US" w:eastAsia="zh-CN"/>
        </w:rPr>
        <w:t>19.43</w:t>
      </w:r>
      <w:r>
        <w:rPr>
          <w:rFonts w:hint="eastAsia" w:ascii="仿宋_GB2312" w:hAnsi="仿宋" w:eastAsia="仿宋_GB2312"/>
          <w:sz w:val="32"/>
          <w:szCs w:val="32"/>
        </w:rPr>
        <w:t>万元，本年度总支出</w:t>
      </w:r>
      <w:r>
        <w:rPr>
          <w:rFonts w:hint="eastAsia" w:ascii="仿宋_GB2312" w:hAnsi="仿宋" w:eastAsia="仿宋_GB2312"/>
          <w:sz w:val="32"/>
          <w:szCs w:val="32"/>
          <w:lang w:val="en-US" w:eastAsia="zh-CN"/>
        </w:rPr>
        <w:t>7</w:t>
      </w:r>
      <w:r>
        <w:rPr>
          <w:rFonts w:hint="eastAsia" w:ascii="仿宋_GB2312" w:hAnsi="仿宋" w:eastAsia="仿宋_GB2312"/>
          <w:sz w:val="32"/>
          <w:szCs w:val="32"/>
        </w:rPr>
        <w:t>万元。相较于上年度</w:t>
      </w:r>
      <w:r>
        <w:rPr>
          <w:rFonts w:hint="eastAsia" w:ascii="仿宋_GB2312" w:hAnsi="仿宋" w:eastAsia="仿宋_GB2312"/>
          <w:sz w:val="32"/>
          <w:szCs w:val="32"/>
          <w:lang w:val="en-US" w:eastAsia="zh-CN"/>
        </w:rPr>
        <w:t>减少</w:t>
      </w:r>
      <w:r>
        <w:rPr>
          <w:rFonts w:hint="eastAsia" w:ascii="仿宋_GB2312" w:hAnsi="仿宋" w:eastAsia="仿宋_GB2312"/>
          <w:sz w:val="32"/>
          <w:szCs w:val="32"/>
        </w:rPr>
        <w:t>了</w:t>
      </w:r>
      <w:r>
        <w:rPr>
          <w:rFonts w:hint="eastAsia" w:ascii="仿宋_GB2312" w:hAnsi="仿宋" w:eastAsia="仿宋_GB2312"/>
          <w:sz w:val="32"/>
          <w:szCs w:val="32"/>
          <w:lang w:val="en-US" w:eastAsia="zh-CN"/>
        </w:rPr>
        <w:t>12.43</w:t>
      </w:r>
      <w:r>
        <w:rPr>
          <w:rFonts w:hint="eastAsia" w:ascii="仿宋_GB2312" w:hAnsi="仿宋" w:eastAsia="仿宋_GB2312"/>
          <w:sz w:val="32"/>
          <w:szCs w:val="32"/>
        </w:rPr>
        <w:t>万元，</w:t>
      </w:r>
      <w:r>
        <w:rPr>
          <w:rFonts w:hint="eastAsia" w:ascii="仿宋_GB2312" w:hAnsi="仿宋" w:eastAsia="仿宋_GB2312"/>
          <w:sz w:val="32"/>
          <w:szCs w:val="32"/>
          <w:lang w:val="en-US" w:eastAsia="zh-CN"/>
        </w:rPr>
        <w:t>降幅64.97</w:t>
      </w:r>
      <w:r>
        <w:rPr>
          <w:rFonts w:hint="eastAsia" w:ascii="仿宋_GB2312" w:hAnsi="仿宋" w:eastAsia="仿宋_GB2312"/>
          <w:sz w:val="32"/>
          <w:szCs w:val="32"/>
        </w:rPr>
        <w:t>%。主要原因是本年度的大型培训</w:t>
      </w:r>
      <w:r>
        <w:rPr>
          <w:rFonts w:hint="eastAsia" w:ascii="仿宋_GB2312" w:hAnsi="仿宋" w:eastAsia="仿宋_GB2312"/>
          <w:sz w:val="32"/>
          <w:szCs w:val="32"/>
          <w:lang w:val="en-US" w:eastAsia="zh-CN"/>
        </w:rPr>
        <w:t>支出口径由财政直接调指标，未经我单位支付</w:t>
      </w:r>
      <w:r>
        <w:rPr>
          <w:rFonts w:hint="eastAsia" w:ascii="仿宋_GB2312" w:hAnsi="仿宋" w:eastAsia="仿宋_GB2312"/>
          <w:sz w:val="32"/>
          <w:szCs w:val="32"/>
        </w:rPr>
        <w:t>。</w:t>
      </w:r>
    </w:p>
    <w:p>
      <w:pPr>
        <w:spacing w:after="0" w:line="560" w:lineRule="exact"/>
        <w:ind w:firstLine="643" w:firstLineChars="200"/>
        <w:rPr>
          <w:rFonts w:hint="eastAsia" w:ascii="楷体_GB2312" w:hAnsi="宋体" w:eastAsia="楷体_GB2312" w:cs="宋体"/>
          <w:b/>
          <w:bCs/>
          <w:sz w:val="32"/>
          <w:szCs w:val="32"/>
        </w:rPr>
      </w:pPr>
      <w:r>
        <w:rPr>
          <w:rFonts w:hint="eastAsia" w:ascii="楷体_GB2312" w:hAnsi="宋体" w:eastAsia="楷体_GB2312" w:cs="宋体"/>
          <w:b/>
          <w:bCs/>
          <w:sz w:val="32"/>
          <w:szCs w:val="32"/>
        </w:rPr>
        <w:t>（二）项目支出</w:t>
      </w:r>
    </w:p>
    <w:p>
      <w:pPr>
        <w:spacing w:after="0"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市纪委监委本年度项目支出</w:t>
      </w:r>
      <w:r>
        <w:rPr>
          <w:rFonts w:hint="eastAsia" w:ascii="仿宋_GB2312" w:hAnsi="仿宋" w:eastAsia="仿宋_GB2312"/>
          <w:sz w:val="32"/>
          <w:szCs w:val="32"/>
          <w:lang w:val="en-US" w:eastAsia="zh-CN"/>
        </w:rPr>
        <w:t>1380.96</w:t>
      </w:r>
      <w:r>
        <w:rPr>
          <w:rFonts w:hint="eastAsia" w:ascii="仿宋_GB2312" w:hAnsi="仿宋" w:eastAsia="仿宋_GB2312"/>
          <w:sz w:val="32"/>
          <w:szCs w:val="32"/>
        </w:rPr>
        <w:t>万元，全部为财政资金。</w:t>
      </w:r>
      <w:r>
        <w:rPr>
          <w:rFonts w:hint="eastAsia" w:ascii="仿宋_GB2312" w:hAnsi="仿宋" w:eastAsia="仿宋_GB2312"/>
          <w:sz w:val="32"/>
          <w:szCs w:val="32"/>
          <w:highlight w:val="none"/>
        </w:rPr>
        <w:t>其中纪检监察执法办案支出</w:t>
      </w:r>
      <w:r>
        <w:rPr>
          <w:rFonts w:hint="eastAsia" w:ascii="仿宋_GB2312" w:hAnsi="仿宋" w:eastAsia="仿宋_GB2312"/>
          <w:sz w:val="32"/>
          <w:szCs w:val="32"/>
          <w:highlight w:val="none"/>
          <w:lang w:val="en-US" w:eastAsia="zh-CN"/>
        </w:rPr>
        <w:t>1006.58</w:t>
      </w:r>
      <w:r>
        <w:rPr>
          <w:rFonts w:hint="eastAsia" w:ascii="仿宋_GB2312" w:hAnsi="仿宋" w:eastAsia="仿宋_GB2312"/>
          <w:sz w:val="32"/>
          <w:szCs w:val="32"/>
          <w:highlight w:val="none"/>
        </w:rPr>
        <w:t>万元，廉政文化周支出60万元，巡察专项经费</w:t>
      </w:r>
      <w:r>
        <w:rPr>
          <w:rFonts w:hint="eastAsia" w:ascii="仿宋_GB2312" w:hAnsi="仿宋" w:eastAsia="仿宋_GB2312"/>
          <w:sz w:val="32"/>
          <w:szCs w:val="32"/>
          <w:highlight w:val="none"/>
          <w:lang w:val="en-US" w:eastAsia="zh-CN"/>
        </w:rPr>
        <w:t>223.29</w:t>
      </w:r>
      <w:r>
        <w:rPr>
          <w:rFonts w:hint="eastAsia" w:ascii="仿宋_GB2312" w:hAnsi="仿宋" w:eastAsia="仿宋_GB2312"/>
          <w:sz w:val="32"/>
          <w:szCs w:val="32"/>
          <w:highlight w:val="none"/>
        </w:rPr>
        <w:t>万元，智慧纪检专项支出</w:t>
      </w:r>
      <w:r>
        <w:rPr>
          <w:rFonts w:hint="eastAsia" w:ascii="仿宋_GB2312" w:hAnsi="仿宋" w:eastAsia="仿宋_GB2312"/>
          <w:sz w:val="32"/>
          <w:szCs w:val="32"/>
          <w:highlight w:val="none"/>
          <w:lang w:val="en-US" w:eastAsia="zh-CN"/>
        </w:rPr>
        <w:t>84.94</w:t>
      </w:r>
      <w:r>
        <w:rPr>
          <w:rFonts w:hint="eastAsia" w:ascii="仿宋_GB2312" w:hAnsi="仿宋" w:eastAsia="仿宋_GB2312"/>
          <w:sz w:val="32"/>
          <w:szCs w:val="32"/>
          <w:highlight w:val="none"/>
        </w:rPr>
        <w:t>万元</w:t>
      </w:r>
      <w:r>
        <w:rPr>
          <w:rFonts w:hint="eastAsia" w:ascii="仿宋_GB2312" w:hAnsi="仿宋" w:eastAsia="仿宋_GB2312"/>
          <w:sz w:val="32"/>
          <w:szCs w:val="32"/>
          <w:lang w:eastAsia="zh-CN"/>
        </w:rPr>
        <w:t>，</w:t>
      </w:r>
      <w:r>
        <w:rPr>
          <w:rFonts w:hint="eastAsia" w:ascii="仿宋_GB2312" w:hAnsi="仿宋" w:eastAsia="仿宋_GB2312"/>
          <w:sz w:val="32"/>
          <w:szCs w:val="32"/>
          <w:lang w:val="en-US" w:eastAsia="zh-CN"/>
        </w:rPr>
        <w:t>基层党建经费1.2万元，公务员考核奖励4.95万元</w:t>
      </w:r>
      <w:r>
        <w:rPr>
          <w:rFonts w:hint="eastAsia" w:ascii="仿宋_GB2312" w:hAnsi="仿宋" w:eastAsia="仿宋_GB2312"/>
          <w:sz w:val="32"/>
          <w:szCs w:val="32"/>
        </w:rPr>
        <w:t>。</w:t>
      </w:r>
    </w:p>
    <w:p>
      <w:pPr>
        <w:spacing w:after="0" w:line="56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市纪委监委建立健全了项目资金审查审批程序和财务制度，资金的使用必须符合项目资</w:t>
      </w:r>
      <w:bookmarkStart w:id="0" w:name="_GoBack"/>
      <w:bookmarkEnd w:id="0"/>
      <w:r>
        <w:rPr>
          <w:rFonts w:hint="eastAsia" w:ascii="Times New Roman" w:hAnsi="Times New Roman" w:eastAsia="仿宋_GB2312"/>
          <w:sz w:val="32"/>
          <w:szCs w:val="32"/>
        </w:rPr>
        <w:t>金管理办法规定。严格遵守会计核算制度，严格按照专项资金管理办法规定，严禁套取项目资金，专款专用。</w:t>
      </w:r>
    </w:p>
    <w:p>
      <w:pPr>
        <w:spacing w:after="0" w:line="560" w:lineRule="exact"/>
        <w:ind w:firstLine="640" w:firstLineChars="200"/>
        <w:rPr>
          <w:rFonts w:hint="eastAsia" w:ascii="Times New Roman" w:hAnsi="Times New Roman" w:eastAsia="仿宋_GB2312"/>
          <w:sz w:val="32"/>
          <w:szCs w:val="32"/>
        </w:rPr>
      </w:pPr>
      <w:r>
        <w:rPr>
          <w:rFonts w:hint="eastAsia" w:ascii="黑体" w:hAnsi="黑体" w:eastAsia="黑体" w:cs="宋体"/>
          <w:sz w:val="32"/>
          <w:szCs w:val="32"/>
        </w:rPr>
        <w:t>三、部门项目组织实施情况</w:t>
      </w:r>
    </w:p>
    <w:p>
      <w:pPr>
        <w:spacing w:after="0" w:line="56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市纪委监委的项目均为一般事务性项目支出。廉政文化周展示了宁乡廉政文化的特色和成果，不断筑牢全市党员干部拒腐防变思想道德防线，成功打造了宁乡廉政文化建设品牌，厚植社会廉洁土壤；围绕学习贯彻习近平新时代中国特色社会主义思想，党的政治建设，组织建设，作风建设，纪律建设和夺取反腐败斗争压倒性胜利情况，通过发现问题，形成震慑，推动改革，促进发展，着力查找政治偏差，发挥巡察政治监督，组织监督，纪律监督作用。</w:t>
      </w:r>
    </w:p>
    <w:p>
      <w:pPr>
        <w:spacing w:after="0" w:line="560" w:lineRule="exact"/>
        <w:ind w:firstLine="640" w:firstLineChars="200"/>
        <w:rPr>
          <w:rFonts w:hint="eastAsia" w:ascii="黑体" w:hAnsi="黑体" w:eastAsia="黑体" w:cs="宋体"/>
          <w:sz w:val="32"/>
          <w:szCs w:val="32"/>
        </w:rPr>
      </w:pPr>
      <w:r>
        <w:rPr>
          <w:rFonts w:hint="eastAsia" w:ascii="黑体" w:hAnsi="黑体" w:eastAsia="黑体" w:cs="宋体"/>
          <w:sz w:val="32"/>
          <w:szCs w:val="32"/>
        </w:rPr>
        <w:t>四、资产管理情况</w:t>
      </w:r>
    </w:p>
    <w:p>
      <w:pPr>
        <w:spacing w:after="0" w:line="560" w:lineRule="exact"/>
        <w:ind w:firstLine="640" w:firstLineChars="200"/>
        <w:rPr>
          <w:rFonts w:hint="eastAsia" w:ascii="仿宋_GB2312" w:hAnsi="仿宋" w:eastAsia="仿宋_GB2312"/>
          <w:sz w:val="32"/>
          <w:szCs w:val="32"/>
        </w:rPr>
      </w:pPr>
      <w:r>
        <w:rPr>
          <w:rFonts w:hint="eastAsia" w:ascii="Times New Roman" w:hAnsi="Times New Roman" w:eastAsia="仿宋_GB2312"/>
          <w:sz w:val="32"/>
          <w:szCs w:val="32"/>
          <w:lang w:val="zh-CN"/>
        </w:rPr>
        <w:t>本部门共有车辆7辆</w:t>
      </w:r>
      <w:r>
        <w:rPr>
          <w:rFonts w:ascii="Times New Roman" w:hAnsi="Times New Roman" w:eastAsia="仿宋_GB2312"/>
          <w:sz w:val="32"/>
          <w:szCs w:val="32"/>
          <w:lang w:val="zh-CN"/>
        </w:rPr>
        <w:t xml:space="preserve">, </w:t>
      </w:r>
      <w:r>
        <w:rPr>
          <w:rFonts w:hint="eastAsia" w:ascii="Times New Roman" w:hAnsi="Times New Roman" w:eastAsia="仿宋_GB2312"/>
          <w:sz w:val="32"/>
          <w:szCs w:val="32"/>
          <w:lang w:val="zh-CN"/>
        </w:rPr>
        <w:t>全部为一般执法执勤用车</w:t>
      </w:r>
      <w:r>
        <w:rPr>
          <w:rFonts w:ascii="Times New Roman" w:hAnsi="Times New Roman" w:eastAsia="仿宋_GB2312"/>
          <w:sz w:val="32"/>
          <w:szCs w:val="32"/>
          <w:lang w:val="zh-CN"/>
        </w:rPr>
        <w:t>;</w:t>
      </w:r>
      <w:r>
        <w:rPr>
          <w:rFonts w:hint="eastAsia" w:ascii="Times New Roman" w:hAnsi="Times New Roman" w:eastAsia="仿宋_GB2312"/>
          <w:sz w:val="32"/>
          <w:szCs w:val="32"/>
          <w:lang w:val="zh-CN"/>
        </w:rPr>
        <w:t>单位价值</w:t>
      </w:r>
      <w:r>
        <w:rPr>
          <w:rFonts w:ascii="Times New Roman" w:hAnsi="Times New Roman" w:eastAsia="仿宋_GB2312"/>
          <w:sz w:val="32"/>
          <w:szCs w:val="32"/>
          <w:lang w:val="zh-CN"/>
        </w:rPr>
        <w:t>50</w:t>
      </w:r>
      <w:r>
        <w:rPr>
          <w:rFonts w:hint="eastAsia" w:ascii="Times New Roman" w:hAnsi="Times New Roman" w:eastAsia="仿宋_GB2312"/>
          <w:sz w:val="32"/>
          <w:szCs w:val="32"/>
          <w:lang w:val="zh-CN"/>
        </w:rPr>
        <w:t>万元以上通用设备1套，无单价</w:t>
      </w:r>
      <w:r>
        <w:rPr>
          <w:rFonts w:ascii="Times New Roman" w:hAnsi="Times New Roman" w:eastAsia="仿宋_GB2312"/>
          <w:sz w:val="32"/>
          <w:szCs w:val="32"/>
          <w:lang w:val="zh-CN"/>
        </w:rPr>
        <w:t>100</w:t>
      </w:r>
      <w:r>
        <w:rPr>
          <w:rFonts w:hint="eastAsia" w:ascii="Times New Roman" w:hAnsi="Times New Roman" w:eastAsia="仿宋_GB2312"/>
          <w:sz w:val="32"/>
          <w:szCs w:val="32"/>
          <w:lang w:val="zh-CN"/>
        </w:rPr>
        <w:t>万元以上专用设备。</w:t>
      </w:r>
      <w:r>
        <w:rPr>
          <w:rFonts w:hint="eastAsia" w:ascii="仿宋_GB2312" w:hAnsi="仿宋" w:eastAsia="仿宋_GB2312"/>
          <w:sz w:val="32"/>
          <w:szCs w:val="32"/>
        </w:rPr>
        <w:t>固定资产的配置、管理、处置严格宁财（2018）34号、35号文件执行。</w:t>
      </w:r>
    </w:p>
    <w:p>
      <w:pPr>
        <w:spacing w:after="0" w:line="560" w:lineRule="exact"/>
        <w:ind w:firstLine="640" w:firstLineChars="200"/>
        <w:rPr>
          <w:rFonts w:hint="eastAsia" w:ascii="黑体" w:hAnsi="黑体" w:eastAsia="黑体" w:cs="宋体"/>
          <w:sz w:val="32"/>
          <w:szCs w:val="32"/>
        </w:rPr>
      </w:pPr>
      <w:r>
        <w:rPr>
          <w:rFonts w:hint="eastAsia" w:ascii="黑体" w:hAnsi="黑体" w:eastAsia="黑体" w:cs="宋体"/>
          <w:sz w:val="32"/>
          <w:szCs w:val="32"/>
        </w:rPr>
        <w:t>五、部门整体支出绩效情况</w:t>
      </w:r>
    </w:p>
    <w:p>
      <w:pPr>
        <w:spacing w:after="0" w:line="56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通过加强监督执纪问责，深入推进党风廉政建设和反腐败斗争，为营造风清气正的政治生态环境提供了坚强的纪律保障。</w:t>
      </w:r>
    </w:p>
    <w:p>
      <w:pPr>
        <w:spacing w:after="0" w:line="560" w:lineRule="exact"/>
        <w:ind w:firstLine="640" w:firstLineChars="200"/>
        <w:rPr>
          <w:rFonts w:hint="eastAsia" w:ascii="黑体" w:hAnsi="黑体" w:eastAsia="黑体" w:cs="宋体"/>
          <w:sz w:val="32"/>
          <w:szCs w:val="32"/>
        </w:rPr>
      </w:pPr>
      <w:r>
        <w:rPr>
          <w:rFonts w:hint="eastAsia" w:ascii="黑体" w:hAnsi="黑体" w:eastAsia="黑体" w:cs="宋体"/>
          <w:sz w:val="32"/>
          <w:szCs w:val="32"/>
        </w:rPr>
        <w:t>六、存在的主要问题</w:t>
      </w:r>
    </w:p>
    <w:p>
      <w:pPr>
        <w:spacing w:after="0" w:line="56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基本支出经费安排不足，社保调标、补缴以及残保金缴纳占用了较多的公用经费。</w:t>
      </w:r>
    </w:p>
    <w:p>
      <w:pPr>
        <w:spacing w:after="0" w:line="560" w:lineRule="exact"/>
        <w:ind w:firstLine="640" w:firstLineChars="200"/>
        <w:rPr>
          <w:rFonts w:hint="eastAsia" w:ascii="黑体" w:hAnsi="黑体" w:eastAsia="黑体" w:cs="宋体"/>
          <w:sz w:val="32"/>
          <w:szCs w:val="32"/>
        </w:rPr>
      </w:pPr>
      <w:r>
        <w:rPr>
          <w:rFonts w:hint="eastAsia" w:ascii="黑体" w:hAnsi="黑体" w:eastAsia="黑体" w:cs="宋体"/>
          <w:sz w:val="32"/>
          <w:szCs w:val="32"/>
        </w:rPr>
        <w:t>七、改进措施和有关建议</w:t>
      </w:r>
    </w:p>
    <w:p>
      <w:pPr>
        <w:spacing w:after="0" w:line="56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建议财政对社保调标等原因造成人员经费不足的情况适当考虑，可以年中追拨。</w:t>
      </w:r>
    </w:p>
    <w:p>
      <w:pPr>
        <w:tabs>
          <w:tab w:val="left" w:pos="6870"/>
        </w:tabs>
        <w:spacing w:after="0" w:line="560" w:lineRule="exact"/>
        <w:ind w:firstLine="440" w:firstLineChars="200"/>
      </w:pPr>
    </w:p>
    <w:sectPr>
      <w:pgSz w:w="11906" w:h="16838"/>
      <w:pgMar w:top="1440" w:right="1800" w:bottom="1440" w:left="180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ViMzY0YWNlOTk5NTgxN2U1MzhhOTcyYjBhYmZjOGQifQ=="/>
  </w:docVars>
  <w:rsids>
    <w:rsidRoot w:val="00D31D50"/>
    <w:rsid w:val="0006380E"/>
    <w:rsid w:val="000B3CFA"/>
    <w:rsid w:val="00235AF9"/>
    <w:rsid w:val="00323B43"/>
    <w:rsid w:val="003D37D8"/>
    <w:rsid w:val="00426133"/>
    <w:rsid w:val="004358AB"/>
    <w:rsid w:val="0044694D"/>
    <w:rsid w:val="005866B3"/>
    <w:rsid w:val="006007E0"/>
    <w:rsid w:val="007F4796"/>
    <w:rsid w:val="008B7726"/>
    <w:rsid w:val="00B32461"/>
    <w:rsid w:val="00B70974"/>
    <w:rsid w:val="00D12D2B"/>
    <w:rsid w:val="00D31D50"/>
    <w:rsid w:val="08844F44"/>
    <w:rsid w:val="1D013C73"/>
    <w:rsid w:val="707129A7"/>
    <w:rsid w:val="7F9703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customStyle="1" w:styleId="2">
    <w:name w:val="No Spacing1"/>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footer"/>
    <w:basedOn w:val="1"/>
    <w:link w:val="8"/>
    <w:semiHidden/>
    <w:unhideWhenUsed/>
    <w:qFormat/>
    <w:uiPriority w:val="99"/>
    <w:pPr>
      <w:tabs>
        <w:tab w:val="center" w:pos="4153"/>
        <w:tab w:val="right" w:pos="8306"/>
      </w:tabs>
    </w:pPr>
    <w:rPr>
      <w:sz w:val="18"/>
      <w:szCs w:val="18"/>
    </w:rPr>
  </w:style>
  <w:style w:type="paragraph" w:styleId="4">
    <w:name w:val="header"/>
    <w:basedOn w:val="1"/>
    <w:link w:val="7"/>
    <w:semiHidden/>
    <w:unhideWhenUsed/>
    <w:uiPriority w:val="99"/>
    <w:pPr>
      <w:pBdr>
        <w:bottom w:val="single" w:color="auto" w:sz="6" w:space="1"/>
      </w:pBdr>
      <w:tabs>
        <w:tab w:val="center" w:pos="4153"/>
        <w:tab w:val="right" w:pos="8306"/>
      </w:tabs>
      <w:jc w:val="center"/>
    </w:pPr>
    <w:rPr>
      <w:sz w:val="18"/>
      <w:szCs w:val="18"/>
    </w:rPr>
  </w:style>
  <w:style w:type="character" w:customStyle="1" w:styleId="7">
    <w:name w:val="页眉 Char"/>
    <w:basedOn w:val="6"/>
    <w:link w:val="4"/>
    <w:semiHidden/>
    <w:qFormat/>
    <w:uiPriority w:val="99"/>
    <w:rPr>
      <w:rFonts w:ascii="Tahoma" w:hAnsi="Tahoma"/>
      <w:sz w:val="18"/>
      <w:szCs w:val="18"/>
    </w:rPr>
  </w:style>
  <w:style w:type="character" w:customStyle="1" w:styleId="8">
    <w:name w:val="页脚 Char"/>
    <w:basedOn w:val="6"/>
    <w:link w:val="3"/>
    <w:semiHidden/>
    <w:uiPriority w:val="99"/>
    <w:rPr>
      <w:rFonts w:ascii="Tahoma" w:hAnsi="Tahoma"/>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2630</Words>
  <Characters>2771</Characters>
  <Lines>19</Lines>
  <Paragraphs>5</Paragraphs>
  <TotalTime>38</TotalTime>
  <ScaleCrop>false</ScaleCrop>
  <LinksUpToDate>false</LinksUpToDate>
  <CharactersWithSpaces>2772</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Administrator</cp:lastModifiedBy>
  <dcterms:modified xsi:type="dcterms:W3CDTF">2023-04-10T03:22:19Z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898A7DFBBAD24F25BAE5677D18D9F52B</vt:lpwstr>
  </property>
</Properties>
</file>