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left="91"/>
        <w:jc w:val="center"/>
        <w:rPr>
          <w:rFonts w:hint="eastAsia" w:ascii="Times New Roman" w:hAnsi="Times New Roman" w:eastAsia="宋体" w:cs="宋体"/>
          <w:b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宋体"/>
          <w:b/>
          <w:kern w:val="0"/>
          <w:sz w:val="44"/>
          <w:szCs w:val="44"/>
        </w:rPr>
        <w:t>宁乡市自然资源局</w:t>
      </w:r>
      <w:r>
        <w:rPr>
          <w:rFonts w:hint="eastAsia" w:ascii="Times New Roman" w:hAnsi="Times New Roman" w:eastAsia="宋体" w:cs="宋体"/>
          <w:b/>
          <w:kern w:val="0"/>
          <w:sz w:val="44"/>
          <w:szCs w:val="44"/>
          <w:lang w:eastAsia="zh-CN"/>
        </w:rPr>
        <w:t>本级</w:t>
      </w:r>
    </w:p>
    <w:p>
      <w:pPr>
        <w:widowControl/>
        <w:spacing w:line="600" w:lineRule="exact"/>
        <w:ind w:left="91"/>
        <w:jc w:val="center"/>
        <w:rPr>
          <w:rFonts w:ascii="Times New Roman" w:hAnsi="Times New Roman" w:eastAsia="方正小标宋简体" w:cs="宋体"/>
          <w:b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宋体"/>
          <w:b/>
          <w:kern w:val="0"/>
          <w:sz w:val="44"/>
          <w:szCs w:val="44"/>
        </w:rPr>
        <w:t>整体支出绩效自评报告</w:t>
      </w:r>
    </w:p>
    <w:p>
      <w:r>
        <w:rPr>
          <w:rFonts w:hint="eastAsia"/>
        </w:rPr>
        <w:t xml:space="preserve"> 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一、部门概况</w:t>
      </w:r>
    </w:p>
    <w:p>
      <w:pPr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（一）部门基本情况</w:t>
      </w:r>
    </w:p>
    <w:p>
      <w:pPr>
        <w:rPr>
          <w:rFonts w:ascii="仿宋_GB2312" w:hAnsi="Times New Roman" w:eastAsia="仿宋_GB2312" w:cs="宋体"/>
          <w:sz w:val="32"/>
          <w:szCs w:val="32"/>
        </w:rPr>
      </w:pPr>
      <w:r>
        <w:rPr>
          <w:rFonts w:hint="eastAsia" w:ascii="仿宋_GB2312" w:hAnsi="Times New Roman" w:eastAsia="仿宋_GB2312" w:cs="宋体"/>
          <w:sz w:val="32"/>
          <w:szCs w:val="32"/>
        </w:rPr>
        <w:t>1、在职人员情况。纳入本次</w:t>
      </w:r>
      <w:r>
        <w:rPr>
          <w:rFonts w:hint="eastAsia" w:ascii="仿宋_GB2312" w:hAnsi="Times New Roman" w:eastAsia="仿宋_GB2312" w:cs="宋体"/>
          <w:sz w:val="32"/>
          <w:szCs w:val="32"/>
          <w:lang w:eastAsia="zh-CN"/>
        </w:rPr>
        <w:t>局本级</w:t>
      </w:r>
      <w:r>
        <w:rPr>
          <w:rFonts w:hint="eastAsia" w:ascii="仿宋_GB2312" w:hAnsi="Times New Roman" w:eastAsia="仿宋_GB2312" w:cs="宋体"/>
          <w:sz w:val="32"/>
          <w:szCs w:val="32"/>
        </w:rPr>
        <w:t>整体支出绩效自评单位</w:t>
      </w:r>
      <w:r>
        <w:rPr>
          <w:rFonts w:hint="eastAsia" w:ascii="仿宋_GB2312" w:hAnsi="仿宋" w:eastAsia="仿宋_GB2312"/>
          <w:sz w:val="32"/>
          <w:szCs w:val="32"/>
        </w:rPr>
        <w:t>包括自然资源局机关本级、宁乡市国土规划技术服务中心、不动产登记中心、国土资源市场管理中心、信息中心、执法大队。</w:t>
      </w:r>
      <w:r>
        <w:rPr>
          <w:rFonts w:hint="eastAsia" w:ascii="仿宋_GB2312" w:hAnsi="Times New Roman" w:eastAsia="仿宋_GB2312" w:cs="宋体"/>
          <w:sz w:val="32"/>
          <w:szCs w:val="32"/>
        </w:rPr>
        <w:t>编制数</w:t>
      </w:r>
      <w:r>
        <w:rPr>
          <w:rFonts w:hint="eastAsia" w:ascii="仿宋_GB2312" w:hAnsi="Times New Roman" w:eastAsia="仿宋_GB2312" w:cs="宋体"/>
          <w:sz w:val="32"/>
          <w:szCs w:val="32"/>
          <w:lang w:val="en-US" w:eastAsia="zh-CN"/>
        </w:rPr>
        <w:t>115</w:t>
      </w:r>
      <w:r>
        <w:rPr>
          <w:rFonts w:hint="eastAsia" w:ascii="仿宋_GB2312" w:hAnsi="Times New Roman" w:eastAsia="仿宋_GB2312" w:cs="宋体"/>
          <w:sz w:val="32"/>
          <w:szCs w:val="32"/>
        </w:rPr>
        <w:t>人，2020年实际在职人数</w:t>
      </w:r>
      <w:r>
        <w:rPr>
          <w:rFonts w:hint="eastAsia" w:ascii="仿宋_GB2312" w:hAnsi="Times New Roman" w:eastAsia="仿宋_GB2312" w:cs="宋体"/>
          <w:sz w:val="32"/>
          <w:szCs w:val="32"/>
          <w:lang w:val="en-US" w:eastAsia="zh-CN"/>
        </w:rPr>
        <w:t>201</w:t>
      </w:r>
      <w:r>
        <w:rPr>
          <w:rFonts w:hint="eastAsia" w:ascii="仿宋_GB2312" w:hAnsi="Times New Roman" w:eastAsia="仿宋_GB2312" w:cs="宋体"/>
          <w:sz w:val="32"/>
          <w:szCs w:val="32"/>
        </w:rPr>
        <w:t>人（其中行政人员26人，参照公务员法管理人员6人，非参公事业人员</w:t>
      </w:r>
      <w:r>
        <w:rPr>
          <w:rFonts w:hint="eastAsia" w:ascii="仿宋_GB2312" w:hAnsi="Times New Roman" w:eastAsia="仿宋_GB2312" w:cs="宋体"/>
          <w:sz w:val="32"/>
          <w:szCs w:val="32"/>
          <w:lang w:val="en-US" w:eastAsia="zh-CN"/>
        </w:rPr>
        <w:t>169</w:t>
      </w:r>
      <w:r>
        <w:rPr>
          <w:rFonts w:hint="eastAsia" w:ascii="仿宋_GB2312" w:hAnsi="Times New Roman" w:eastAsia="仿宋_GB2312" w:cs="宋体"/>
          <w:sz w:val="32"/>
          <w:szCs w:val="32"/>
        </w:rPr>
        <w:t>人）。</w:t>
      </w:r>
    </w:p>
    <w:p>
      <w:pPr>
        <w:rPr>
          <w:rFonts w:ascii="仿宋_GB2312" w:hAnsi="Times New Roman" w:eastAsia="仿宋_GB2312" w:cs="宋体"/>
          <w:sz w:val="32"/>
          <w:szCs w:val="32"/>
        </w:rPr>
      </w:pPr>
      <w:r>
        <w:rPr>
          <w:rFonts w:hint="eastAsia" w:ascii="仿宋_GB2312" w:hAnsi="Times New Roman" w:eastAsia="仿宋_GB2312" w:cs="宋体"/>
          <w:sz w:val="32"/>
          <w:szCs w:val="32"/>
        </w:rPr>
        <w:t>2、机构设置。宁乡市自然资源局作为市政府的直属行政管理职能部门，为全额拨款行政单位。内设科室15个，分别为：办公室、人事科、财务科、内审科、政策法规科、行政审批服务科、国土空间用途管制科、自然资源权益科、开发利用和耕地保护科、征地拆迁管理科、自然资源权籍管理科、地理信息管理科、生态修复和矿产管理科、国土空间规划科、规划管理科。</w:t>
      </w:r>
    </w:p>
    <w:p>
      <w:pPr>
        <w:rPr>
          <w:rFonts w:ascii="仿宋_GB2312" w:hAnsi="Times New Roman" w:eastAsia="仿宋_GB2312" w:cs="宋体"/>
          <w:sz w:val="32"/>
          <w:szCs w:val="32"/>
        </w:rPr>
      </w:pPr>
      <w:r>
        <w:rPr>
          <w:rFonts w:hint="eastAsia" w:ascii="仿宋_GB2312" w:hAnsi="Times New Roman" w:eastAsia="仿宋_GB2312" w:cs="宋体"/>
          <w:sz w:val="32"/>
          <w:szCs w:val="32"/>
        </w:rPr>
        <w:t>3、主要职能。宁乡市自然资源局负责全市国土资源管理、承担全市城乡规划管理工作、地质灾害应急处置、不动产统一登记及测绘行业管理等。</w:t>
      </w:r>
    </w:p>
    <w:p>
      <w:pPr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（二）部门整体支出规模、使用方向和主要内容、涉及范围等。</w:t>
      </w:r>
    </w:p>
    <w:p>
      <w:pPr>
        <w:ind w:firstLine="640" w:firstLineChars="200"/>
      </w:pPr>
      <w:r>
        <w:rPr>
          <w:rFonts w:hint="eastAsia" w:ascii="Times New Roman" w:hAnsi="Times New Roman" w:eastAsia="仿宋_GB2312"/>
          <w:sz w:val="32"/>
          <w:szCs w:val="32"/>
        </w:rPr>
        <w:t>2020年度，部门整体支出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10565.76</w:t>
      </w:r>
      <w:r>
        <w:rPr>
          <w:rFonts w:hint="eastAsia" w:ascii="Times New Roman" w:hAnsi="Times New Roman" w:eastAsia="仿宋_GB2312"/>
          <w:sz w:val="32"/>
          <w:szCs w:val="32"/>
        </w:rPr>
        <w:t>万元，其中基本支出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4106.28</w:t>
      </w:r>
      <w:r>
        <w:rPr>
          <w:rFonts w:hint="eastAsia" w:ascii="Times New Roman" w:hAnsi="Times New Roman" w:eastAsia="仿宋_GB2312"/>
          <w:sz w:val="32"/>
          <w:szCs w:val="32"/>
        </w:rPr>
        <w:t>万元，基本支出主要用于人员工资福利支出及单位运行维护。项目支出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6459.47</w:t>
      </w:r>
      <w:r>
        <w:rPr>
          <w:rFonts w:hint="eastAsia" w:ascii="Times New Roman" w:hAnsi="Times New Roman" w:eastAsia="仿宋_GB2312"/>
          <w:sz w:val="32"/>
          <w:szCs w:val="32"/>
        </w:rPr>
        <w:t>万元。主要用于单位开展相关项目所需费用支出。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二、部门整体支出管理及使用情况</w:t>
      </w:r>
    </w:p>
    <w:p>
      <w:pPr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（一）基本支出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基本支出是保障本单位正常运转、完成日常工作任务的支出，主要包括人员经费支出和日常公用经费支出。本单位2020年基本支出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4106.28</w:t>
      </w:r>
      <w:r>
        <w:rPr>
          <w:rFonts w:hint="eastAsia" w:ascii="Times New Roman" w:hAnsi="Times New Roman" w:eastAsia="仿宋_GB2312"/>
          <w:sz w:val="32"/>
          <w:szCs w:val="32"/>
        </w:rPr>
        <w:t xml:space="preserve">万元。其中：工资福利支出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3687.77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万元、商品和服务支出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400.64</w:t>
      </w:r>
      <w:r>
        <w:rPr>
          <w:rFonts w:hint="eastAsia" w:ascii="Times New Roman" w:hAnsi="Times New Roman" w:eastAsia="仿宋_GB2312"/>
          <w:sz w:val="32"/>
          <w:szCs w:val="32"/>
        </w:rPr>
        <w:t>万元、对个人和家庭的补助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17.87</w:t>
      </w:r>
      <w:r>
        <w:rPr>
          <w:rFonts w:hint="eastAsia" w:ascii="Times New Roman" w:hAnsi="Times New Roman" w:eastAsia="仿宋_GB2312"/>
          <w:sz w:val="32"/>
          <w:szCs w:val="32"/>
        </w:rPr>
        <w:t>万元。资金的管理情况：本单位严格执行国家财经法律法规和内部财务财产管理制度，控制和规范管理经费支出，提高资金使用效益。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“三公”经费的使用和管理情况。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1、2020 年 “三公”经费预算情况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本单位2020年“三公”经费预算金额为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47</w:t>
      </w:r>
      <w:r>
        <w:rPr>
          <w:rFonts w:hint="eastAsia" w:ascii="Times New Roman" w:hAnsi="Times New Roman" w:eastAsia="仿宋_GB2312"/>
          <w:sz w:val="32"/>
          <w:szCs w:val="32"/>
        </w:rPr>
        <w:t>万元，其中公务用车运行维护费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万元；公务接待费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3万元。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2、2020 年 “三公”经费预算执行情况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本单位2020年“三公”经费决算金额为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19.53</w:t>
      </w:r>
      <w:r>
        <w:rPr>
          <w:rFonts w:hint="eastAsia" w:ascii="Times New Roman" w:hAnsi="Times New Roman" w:eastAsia="仿宋_GB2312"/>
          <w:sz w:val="32"/>
          <w:szCs w:val="32"/>
        </w:rPr>
        <w:t>万元，其中公务用车运行维护费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7.72</w:t>
      </w:r>
      <w:r>
        <w:rPr>
          <w:rFonts w:hint="eastAsia" w:ascii="Times New Roman" w:hAnsi="Times New Roman" w:eastAsia="仿宋_GB2312"/>
          <w:sz w:val="32"/>
          <w:szCs w:val="32"/>
        </w:rPr>
        <w:t>万元；公务接待费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11.81</w:t>
      </w:r>
      <w:r>
        <w:rPr>
          <w:rFonts w:hint="eastAsia" w:ascii="Times New Roman" w:hAnsi="Times New Roman" w:eastAsia="仿宋_GB2312"/>
          <w:sz w:val="32"/>
          <w:szCs w:val="32"/>
        </w:rPr>
        <w:t>万元。</w:t>
      </w:r>
    </w:p>
    <w:p>
      <w:r>
        <w:rPr>
          <w:rFonts w:hint="eastAsia" w:ascii="Times New Roman" w:hAnsi="Times New Roman" w:eastAsia="仿宋_GB2312"/>
          <w:sz w:val="32"/>
          <w:szCs w:val="32"/>
        </w:rPr>
        <w:t>本年度“三公”经费较上年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增加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1.44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增长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7.96</w:t>
      </w:r>
      <w:r>
        <w:rPr>
          <w:rFonts w:hint="eastAsia" w:ascii="Times New Roman" w:hAnsi="Times New Roman" w:eastAsia="仿宋_GB2312"/>
          <w:sz w:val="32"/>
          <w:szCs w:val="32"/>
        </w:rPr>
        <w:t>%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，主要为二级预算单位国土规划技术服务中心纳入本级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（二）项目支出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1.项目资金（包括财政资金、自筹资金等）安排落实、总投入等情况分析。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2020年本单位项目支出财政资金2020年预算数1330.00万元。其中一般性项目支出财政资金2020年预算数900.00万元含不动产业务经费100.00万元；项目化项目支出预算数为430万元，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(</w:t>
      </w:r>
      <w:r>
        <w:rPr>
          <w:rFonts w:hint="eastAsia" w:ascii="Times New Roman" w:hAnsi="Times New Roman" w:eastAsia="仿宋_GB2312"/>
          <w:sz w:val="32"/>
          <w:szCs w:val="32"/>
        </w:rPr>
        <w:t>突发地灾应急处理及巡查监管专项220.00万元，土地调查及利用规划管理专项160.00万元，存量用地清理及建设用地基准地价专项50万元），实际项目支出财政拨款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6451.47</w:t>
      </w:r>
      <w:r>
        <w:rPr>
          <w:rFonts w:hint="eastAsia" w:ascii="Times New Roman" w:hAnsi="Times New Roman" w:eastAsia="仿宋_GB2312"/>
          <w:sz w:val="32"/>
          <w:szCs w:val="32"/>
        </w:rPr>
        <w:t>万元，其他资金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 xml:space="preserve">万元，资金到位率100%。  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2.项目资金（主要指财政资金）实际使用情况分析。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2020年本单位财政资金项目支出决算数为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6451.47</w:t>
      </w:r>
      <w:r>
        <w:rPr>
          <w:rFonts w:hint="eastAsia" w:ascii="Times New Roman" w:hAnsi="Times New Roman" w:eastAsia="仿宋_GB2312"/>
          <w:sz w:val="32"/>
          <w:szCs w:val="32"/>
        </w:rPr>
        <w:t>万元，均为业务工作项目。因规划合并至本级，一般性项目支出财政资金1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161.82</w:t>
      </w:r>
      <w:r>
        <w:rPr>
          <w:rFonts w:hint="eastAsia" w:ascii="Times New Roman" w:hAnsi="Times New Roman" w:eastAsia="仿宋_GB2312"/>
          <w:sz w:val="32"/>
          <w:szCs w:val="32"/>
        </w:rPr>
        <w:t>万元，含不动产业务经费100万元，规划编制经费404.56万元；项目化项目支出：城乡规划编制368.02万元，突发地灾应急处理及巡查监管专项220.00万元，土地调查及利用规划管理专项160.00万元，存量用地清理及建设用地基准地价专项50万元，农村宅基地及集体建设用地房地一体权籍调查和确权登记项目2708.72万元，第三次国土调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查502.91</w:t>
      </w:r>
      <w:r>
        <w:rPr>
          <w:rFonts w:hint="eastAsia" w:ascii="Times New Roman" w:hAnsi="Times New Roman" w:eastAsia="仿宋_GB2312"/>
          <w:sz w:val="32"/>
          <w:szCs w:val="32"/>
        </w:rPr>
        <w:t>万元，北斗地灾监测预警系统770万元，专项上级支付510万元。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3.项目资金管理情况分析，主要包括管理制度、办法的制订及执行情况。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严格按照《关于进一步规范专项业务工作经费管理的通知》、宁乡市财政局相关文件、宁乡市自然资源局财务管理制度进行项目资金管理。项目支出均有相关的授权审批，资金拨付严格审批程序，三重一大支付严格执行会议决定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三、部门项目组织实施情况</w:t>
      </w:r>
    </w:p>
    <w:p>
      <w:pPr>
        <w:spacing w:line="600" w:lineRule="exact"/>
        <w:ind w:firstLine="630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（一）项目组织情况分析，主要包括项目招投标、调整、竣工验收等情况。</w:t>
      </w:r>
      <w:r>
        <w:rPr>
          <w:rFonts w:hint="eastAsia" w:ascii="Times New Roman" w:hAnsi="Times New Roman" w:eastAsia="仿宋_GB2312"/>
          <w:sz w:val="32"/>
          <w:szCs w:val="32"/>
        </w:rPr>
        <w:t>严格按照政府采购流程进行。在制定项目计划的基础上，对项目需组织财评材料报财评中心审定采购价格。根据政府采购要求采取竞争性谈判（或公开招投标），谈判（招标）结束后选定中标单位。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与中标单位签订服务合同，根据合同进度进行付款。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通过审查后组织项目验收，验收成果按规范要求入库。</w:t>
      </w:r>
    </w:p>
    <w:p>
      <w:pPr>
        <w:numPr>
          <w:ilvl w:val="0"/>
          <w:numId w:val="1"/>
        </w:numPr>
        <w:spacing w:line="600" w:lineRule="exact"/>
        <w:ind w:firstLine="643" w:firstLineChars="200"/>
        <w:jc w:val="left"/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项目管理情况分析，主要包括项目管理制度建设、日常检查监督管理等情况。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项目支出均按照有关规章制度和项目实施完成情况进行支付。 并建立相关的管理制度，有专人负责，项目进行时有负责人及时跟踪项目实施情况，并及时提出意见和建议。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四、资产管理情况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本单位按照国有资产管理工作要求，</w:t>
      </w:r>
      <w:r>
        <w:rPr>
          <w:rFonts w:hint="eastAsia" w:ascii="仿宋_GB2312" w:hAnsi="楷体" w:eastAsia="仿宋_GB2312"/>
          <w:kern w:val="0"/>
          <w:sz w:val="32"/>
          <w:szCs w:val="32"/>
        </w:rPr>
        <w:t>完善了资产管理方面相关管理制度，配备专人负责国有资产管理系统管理工作，认真开展国有资产清查工作。国有资产购置、处置等严格按照上级规定、依程序进行。</w:t>
      </w:r>
    </w:p>
    <w:p/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五、部门整体支出绩效情况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单位全面完成市委市政府确定的经济发展目标、生态文明建设等任务，以规划引领，全方位推进全市国土资源领域生态文明体制改革各项工作，推进矿山地质环境综合治理，加快地质灾害综合防治体系建设，推进土地节约集约高效利用，优化土地资源配置，为建设富饶美丽幸福新宁乡提供坚实的自然资源保障与服务。根据《部门整体支出绩效评价指标》评分，得分96分（详见附表3-1）。2020年宁乡市自然资源局工作完成情况：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以奋力夺取“双胜利”为中心任务强保障、促发展。一是坚持规划引领。完成《宁乡市空间规划实施评估》《资源环境承载能力和国土空间开发适宜性评价》《宁乡市国土空间规划纲要》初步方案，初步划定城镇开发边界，规划城乡建设用地总规模384.19平方公里。初步划定了生态保护红线面积为105.37平方公里。全面启动市域25个镇（乡）国土空间总体规划、245个村庄规划编制工作，完成2个镇国土空间规划和63个村庄规划初步方案。二是狠抓用地报批。上争支持、下争理解，共批回建设用地11894亩，是全省首批按照《新土地管理法》要求完成用地报批的县（市），用地报批一次性通过率名列全省第一。三是强化资源供给。面临疫情防控和经济下行的双重压力，通过组建专班、打造精品、上门推介、邀请企业实地考察等方式提升招商引资工作实效，助推宁乡房地产市场日趋回暖。完成30个集体土地征拆项目。四是努力挖掘潜力。高质量完成第三次国土调查工作。完成长沙市下达的三年（2018-2020年）拆除任务6000户的197.2%；实施增减挂钩项目14517亩，复垦水田2140亩、旱地6532亩、其他农用地5845亩，实施面积居长沙首位。分三种不同模式在三个乡镇开展全域土地综合整治试点工作，走在全省前列，经验做法在全省自然资源系统培训会上推介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以全面推进月清“三地”为重要抓手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,</w:t>
      </w:r>
      <w:r>
        <w:rPr>
          <w:rFonts w:hint="eastAsia" w:ascii="Times New Roman" w:hAnsi="Times New Roman" w:eastAsia="仿宋_GB2312"/>
          <w:sz w:val="32"/>
          <w:szCs w:val="32"/>
        </w:rPr>
        <w:t>强管理、正秩序。一是着力消存量。二是着力控增量。三是着力抓长效。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以认真践行初心使命为根本落脚点强服务、惠民生。一是全力打赢脱贫攻坚战。经市政府同意，向5个贫困村拨付资金69万元用于产业帮扶、危房改造、公益性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岗位设置及基础设施建设。二是科学防治地质灾害。不断巩固完善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,</w:t>
      </w:r>
      <w:r>
        <w:rPr>
          <w:rFonts w:hint="eastAsia" w:ascii="Times New Roman" w:hAnsi="Times New Roman" w:eastAsia="仿宋_GB2312"/>
          <w:sz w:val="32"/>
          <w:szCs w:val="32"/>
        </w:rPr>
        <w:t>“3456”地灾防治群策群防体系，突出北斗地灾监测预警，科学应对强降雨，成功实现地灾“零伤亡”。地灾防治工作得到充分肯定，特别是我市“北斗防灾”经验做法先后被《央视新闻直播间》《湖南卫视新闻联播》《湖南日报》等中央、省市主流媒体宣传推介。三是不动产登记服务水平全面提升。一般登记、转移登记办理时限由7个工作日压缩至5个工作日，抵押登记压缩办结，比法定办结时限提速80%以上。加速系统升级，增设“首次与转移合并登记”流程，商品房栋证让交房即交证成为常态，领跑全省。四是房地一体确权登记和乱占耕地建房摸排工作有序推进。农村宅基地权籍调查完成率100%，发证完成率93.37%。</w:t>
      </w:r>
    </w:p>
    <w:p/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六、存在的主要问题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单位人员配备有限，资产配置方面，因单位专业性较强，存在使用期限相对较长的电脑，或配置不配比，运行缓慢，影响工作效率。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七、改进措施和有关建议</w:t>
      </w:r>
    </w:p>
    <w:p>
      <w:pPr>
        <w:pStyle w:val="4"/>
        <w:widowControl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theme="minorBidi"/>
          <w:kern w:val="2"/>
          <w:sz w:val="32"/>
          <w:szCs w:val="32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</w:rPr>
        <w:t>提高政府采购专业性电脑配置金额标准。充分利用社会技术力量。建议通过招聘专业技术顾问、高级雇员等形式，充分吸引高校及设计单位的高端专业技术人员进行服务。</w:t>
      </w:r>
    </w:p>
    <w:p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57DDC6"/>
    <w:multiLevelType w:val="singleLevel"/>
    <w:tmpl w:val="4757DDC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ZWI1NGM1OTI4MzRjZGQ2ZGY0ZTVlMDkwOGQxNTAifQ=="/>
  </w:docVars>
  <w:rsids>
    <w:rsidRoot w:val="00172A27"/>
    <w:rsid w:val="00172A27"/>
    <w:rsid w:val="003311BA"/>
    <w:rsid w:val="00903523"/>
    <w:rsid w:val="00CB651D"/>
    <w:rsid w:val="1B5502E8"/>
    <w:rsid w:val="21AF383B"/>
    <w:rsid w:val="340B7C66"/>
    <w:rsid w:val="3C261771"/>
    <w:rsid w:val="3DD96378"/>
    <w:rsid w:val="3F882D4C"/>
    <w:rsid w:val="5235072A"/>
    <w:rsid w:val="625706B9"/>
    <w:rsid w:val="6AC77681"/>
    <w:rsid w:val="701C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uiPriority w:val="0"/>
    <w:pPr>
      <w:jc w:val="left"/>
    </w:p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annotation subject"/>
    <w:basedOn w:val="2"/>
    <w:next w:val="2"/>
    <w:link w:val="10"/>
    <w:uiPriority w:val="0"/>
    <w:rPr>
      <w:b/>
      <w:bCs/>
    </w:rPr>
  </w:style>
  <w:style w:type="character" w:styleId="8">
    <w:name w:val="annotation reference"/>
    <w:basedOn w:val="7"/>
    <w:uiPriority w:val="0"/>
    <w:rPr>
      <w:sz w:val="21"/>
      <w:szCs w:val="21"/>
    </w:rPr>
  </w:style>
  <w:style w:type="character" w:customStyle="1" w:styleId="9">
    <w:name w:val="批注文字 Char"/>
    <w:basedOn w:val="7"/>
    <w:link w:val="2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批注主题 Char"/>
    <w:basedOn w:val="9"/>
    <w:link w:val="5"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1">
    <w:name w:val="批注框文本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C9558-5903-4994-8E39-DF89DF2F4E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7</Pages>
  <Words>3084</Words>
  <Characters>3344</Characters>
  <Lines>24</Lines>
  <Paragraphs>6</Paragraphs>
  <TotalTime>31</TotalTime>
  <ScaleCrop>false</ScaleCrop>
  <LinksUpToDate>false</LinksUpToDate>
  <CharactersWithSpaces>3357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2021-03-24T08:43:00Z</dcterms:created>
  <dc:creator>Administrator</dc:creator>
  <cp:lastModifiedBy>Administrator</cp:lastModifiedBy>
  <cp:lastPrinted>2021-03-31T03:38:00Z</cp:lastPrinted>
  <dcterms:modified xsi:type="dcterms:W3CDTF">2022-06-28T01:59:34Z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B6818E95A35C43E6AF9A7AC679871BEB</vt:lpwstr>
  </property>
</Properties>
</file>