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9D266">
      <w:pPr>
        <w:widowControl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附件3-3</w:t>
      </w:r>
    </w:p>
    <w:p w14:paraId="51C4822C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b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44"/>
          <w:szCs w:val="44"/>
        </w:rPr>
        <w:t>宁乡市总工会</w:t>
      </w:r>
      <w:r>
        <w:rPr>
          <w:rFonts w:ascii="方正小标宋简体" w:hAnsi="方正小标宋简体" w:eastAsia="方正小标宋简体" w:cs="方正小标宋简体"/>
          <w:b/>
          <w:color w:val="000000"/>
          <w:kern w:val="0"/>
          <w:sz w:val="44"/>
          <w:szCs w:val="44"/>
        </w:rPr>
        <w:t>部门整体支出绩效</w:t>
      </w:r>
      <w:r>
        <w:rPr>
          <w:rStyle w:val="20"/>
        </w:rPr>
        <w:t>自评报告</w:t>
      </w:r>
    </w:p>
    <w:p w14:paraId="171F8721">
      <w:pPr>
        <w:widowControl/>
        <w:jc w:val="left"/>
        <w:textAlignment w:val="center"/>
        <w:rPr>
          <w:rFonts w:ascii="Times New Roman" w:hAnsi="Times New Roman" w:eastAsia="宋体" w:cs="Times New Roman"/>
          <w:color w:val="000000"/>
          <w:sz w:val="30"/>
          <w:szCs w:val="30"/>
        </w:rPr>
      </w:pPr>
      <w:r>
        <w:rPr>
          <w:rFonts w:ascii="Times New Roman" w:hAnsi="Times New Roman" w:eastAsia="宋体" w:cs="Times New Roman"/>
          <w:color w:val="000000"/>
          <w:kern w:val="0"/>
          <w:sz w:val="30"/>
          <w:szCs w:val="30"/>
        </w:rPr>
        <w:t xml:space="preserve"> </w:t>
      </w:r>
    </w:p>
    <w:p w14:paraId="04B93A3B">
      <w:pPr>
        <w:widowControl/>
        <w:jc w:val="left"/>
        <w:textAlignment w:val="center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一、部门概况</w:t>
      </w:r>
    </w:p>
    <w:p w14:paraId="485C496A">
      <w:pPr>
        <w:widowControl/>
        <w:jc w:val="left"/>
        <w:textAlignment w:val="center"/>
        <w:rPr>
          <w:rFonts w:ascii="楷体_GB2312" w:hAnsi="宋体" w:eastAsia="楷体_GB2312" w:cs="楷体_GB2312"/>
          <w:b/>
          <w:color w:val="000000"/>
          <w:sz w:val="32"/>
          <w:szCs w:val="32"/>
        </w:rPr>
      </w:pP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</w:rPr>
        <w:t>（一）</w:t>
      </w:r>
      <w:r>
        <w:rPr>
          <w:rStyle w:val="21"/>
          <w:rFonts w:hAnsi="宋体"/>
        </w:rPr>
        <w:t>部门基本情况</w:t>
      </w:r>
    </w:p>
    <w:p w14:paraId="42B702EA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Ansi="宋体"/>
        </w:rPr>
        <w:t>宁乡市总工会为全额预算管理单位，现有编制人员8人，实有在职15人，临聘人员9人，退休25人。单位内设4个部室：办公室、经济服务部、基层工作部、权益保障部。</w:t>
      </w:r>
      <w:r>
        <w:rPr>
          <w:rStyle w:val="21"/>
          <w:rFonts w:hint="eastAsia" w:hAnsi="宋体"/>
        </w:rPr>
        <w:t>宁乡市总工会主要承担工会组织建设职能。负责基层工会组建和会员发展工作，完善基层工会组织体系；负责园区、乡镇（街道）企业及基层工会干部的教育管理和培训工作；负责“职工之家”建设和班组建设，指导基层工会依法依章程开展活动；负责厂务公开、民主管理、和谐劳动关系建设等工作：围绕“四个打造”服务，统筹职业培训、劳动竞赛、工匠培养选拔、劳模管理服务。宁乡市总工会</w:t>
      </w:r>
      <w:r>
        <w:rPr>
          <w:rStyle w:val="21"/>
          <w:rFonts w:hAnsi="宋体"/>
        </w:rPr>
        <w:t>在市委、市政府、长沙市总工会的正确领导下，围绕市委“四个打造”，抗击新冠肺炎疫情，聚焦全市产业项目建设和营商环境优化，强力推进“基层组织规范示范、职工服务阵地落地落实、</w:t>
      </w:r>
      <w:r>
        <w:rPr>
          <w:rStyle w:val="21"/>
          <w:rFonts w:hint="eastAsia" w:hAnsi="宋体"/>
        </w:rPr>
        <w:t>帮扶服务贴心暖心、</w:t>
      </w:r>
      <w:r>
        <w:rPr>
          <w:rStyle w:val="21"/>
          <w:rFonts w:hAnsi="宋体"/>
        </w:rPr>
        <w:t>智慧工会提速提质”等重点工作，以“</w:t>
      </w:r>
      <w:r>
        <w:rPr>
          <w:rStyle w:val="21"/>
          <w:rFonts w:hint="eastAsia" w:hAnsi="宋体"/>
        </w:rPr>
        <w:t>建强基层、精准帮扶、建功立业</w:t>
      </w:r>
      <w:r>
        <w:rPr>
          <w:rStyle w:val="21"/>
          <w:rFonts w:hAnsi="宋体"/>
        </w:rPr>
        <w:t>、依法维权”为主线，竭诚服务职工群众，不断提升职工群众的获得感、幸福感，工会工作取得新的突破和成效。</w:t>
      </w:r>
    </w:p>
    <w:p w14:paraId="3A84518A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int="eastAsia" w:hAnsi="宋体"/>
        </w:rPr>
        <w:t>1.</w:t>
      </w:r>
      <w:r>
        <w:rPr>
          <w:rStyle w:val="21"/>
          <w:rFonts w:hAnsi="宋体"/>
        </w:rPr>
        <w:t>发挥工会职能，全力抗击疫情影响</w:t>
      </w:r>
    </w:p>
    <w:p w14:paraId="05EC3A9F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int="eastAsia" w:hAnsi="宋体"/>
        </w:rPr>
        <w:t>2.</w:t>
      </w:r>
      <w:r>
        <w:rPr>
          <w:rStyle w:val="21"/>
          <w:rFonts w:hAnsi="宋体"/>
        </w:rPr>
        <w:t>坚持示范引领，推动工会改革创新</w:t>
      </w:r>
    </w:p>
    <w:p w14:paraId="3F67D62C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int="eastAsia" w:hAnsi="宋体"/>
        </w:rPr>
        <w:t>3.</w:t>
      </w:r>
      <w:r>
        <w:rPr>
          <w:rStyle w:val="21"/>
          <w:rFonts w:hAnsi="宋体"/>
        </w:rPr>
        <w:t>坚持主责主业，开展普惠服务活动</w:t>
      </w:r>
    </w:p>
    <w:p w14:paraId="45E47772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int="eastAsia" w:hAnsi="宋体"/>
        </w:rPr>
        <w:t>4.</w:t>
      </w:r>
      <w:r>
        <w:rPr>
          <w:rStyle w:val="21"/>
          <w:rFonts w:hAnsi="宋体"/>
        </w:rPr>
        <w:t>推进“双联”工作，助力职工解困脱困</w:t>
      </w:r>
    </w:p>
    <w:p w14:paraId="48930A5B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int="eastAsia" w:hAnsi="宋体"/>
        </w:rPr>
        <w:t>5.</w:t>
      </w:r>
      <w:r>
        <w:rPr>
          <w:rStyle w:val="21"/>
          <w:rFonts w:hAnsi="宋体"/>
        </w:rPr>
        <w:t>服务劳模工匠，奏响时代主题旋律</w:t>
      </w:r>
    </w:p>
    <w:p w14:paraId="62A4C958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int="eastAsia" w:hAnsi="宋体"/>
        </w:rPr>
        <w:t>6.</w:t>
      </w:r>
      <w:r>
        <w:rPr>
          <w:rStyle w:val="21"/>
          <w:rFonts w:hAnsi="宋体"/>
        </w:rPr>
        <w:t>劳动技能竞赛，助推宁乡高</w:t>
      </w:r>
      <w:r>
        <w:rPr>
          <w:rStyle w:val="21"/>
          <w:rFonts w:hint="eastAsia" w:hAnsi="宋体"/>
        </w:rPr>
        <w:t>质</w:t>
      </w:r>
      <w:r>
        <w:rPr>
          <w:rStyle w:val="21"/>
          <w:rFonts w:hAnsi="宋体"/>
        </w:rPr>
        <w:t>发展</w:t>
      </w:r>
    </w:p>
    <w:p w14:paraId="1EBC6935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int="eastAsia" w:hAnsi="宋体"/>
        </w:rPr>
        <w:t>7.</w:t>
      </w:r>
      <w:r>
        <w:rPr>
          <w:rStyle w:val="21"/>
          <w:rFonts w:hAnsi="宋体"/>
        </w:rPr>
        <w:t>开展文体宣教，推动职工文化建设</w:t>
      </w:r>
    </w:p>
    <w:p w14:paraId="3E4ED2BB">
      <w:pPr>
        <w:snapToGrid w:val="0"/>
        <w:spacing w:line="520" w:lineRule="exact"/>
        <w:ind w:firstLine="640" w:firstLineChars="200"/>
        <w:rPr>
          <w:rFonts w:ascii="楷体_GB2312" w:hAnsi="宋体" w:eastAsia="仿宋_GB2312" w:cs="楷体_GB2312"/>
          <w:color w:val="000000"/>
          <w:sz w:val="32"/>
          <w:szCs w:val="32"/>
        </w:rPr>
      </w:pPr>
      <w:r>
        <w:rPr>
          <w:rStyle w:val="21"/>
          <w:rFonts w:hint="eastAsia" w:hAnsi="宋体"/>
        </w:rPr>
        <w:t>8.</w:t>
      </w:r>
      <w:r>
        <w:rPr>
          <w:rStyle w:val="21"/>
          <w:rFonts w:hAnsi="宋体"/>
        </w:rPr>
        <w:t>做好经审管理，提升资产使用效能</w:t>
      </w:r>
    </w:p>
    <w:p w14:paraId="7217FF5E">
      <w:pPr>
        <w:widowControl/>
        <w:jc w:val="left"/>
        <w:textAlignment w:val="center"/>
        <w:rPr>
          <w:rStyle w:val="21"/>
          <w:rFonts w:hAnsi="宋体"/>
        </w:rPr>
      </w:pP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</w:rPr>
        <w:t>（二）</w:t>
      </w:r>
      <w:r>
        <w:rPr>
          <w:rStyle w:val="21"/>
          <w:rFonts w:hAnsi="宋体"/>
        </w:rPr>
        <w:t>部门整体支出规模、使用方向和主要内容、涉及范围等。</w:t>
      </w:r>
    </w:p>
    <w:p w14:paraId="75A78E4D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Ansi="宋体"/>
        </w:rPr>
        <w:t>1、部门预算情况</w:t>
      </w:r>
    </w:p>
    <w:p w14:paraId="7080B8B9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Ansi="宋体"/>
        </w:rPr>
        <w:t>20</w:t>
      </w:r>
      <w:r>
        <w:rPr>
          <w:rStyle w:val="21"/>
          <w:rFonts w:hint="eastAsia" w:hAnsi="宋体"/>
        </w:rPr>
        <w:t>20</w:t>
      </w:r>
      <w:r>
        <w:rPr>
          <w:rStyle w:val="21"/>
          <w:rFonts w:hAnsi="宋体"/>
        </w:rPr>
        <w:t>年预算收入为</w:t>
      </w:r>
      <w:r>
        <w:rPr>
          <w:rStyle w:val="21"/>
          <w:rFonts w:hint="eastAsia" w:hAnsi="宋体"/>
        </w:rPr>
        <w:t>312.91</w:t>
      </w:r>
      <w:r>
        <w:rPr>
          <w:rStyle w:val="21"/>
          <w:rFonts w:hAnsi="宋体"/>
        </w:rPr>
        <w:t>万元，全部为本级财政拨款收入。支出</w:t>
      </w:r>
      <w:r>
        <w:rPr>
          <w:rStyle w:val="21"/>
          <w:rFonts w:hint="eastAsia" w:hAnsi="宋体"/>
        </w:rPr>
        <w:t>312.91</w:t>
      </w:r>
      <w:r>
        <w:rPr>
          <w:rStyle w:val="21"/>
          <w:rFonts w:hAnsi="宋体"/>
        </w:rPr>
        <w:t>万元，全部为基本支出，其中人员经费</w:t>
      </w:r>
      <w:r>
        <w:rPr>
          <w:rStyle w:val="21"/>
          <w:rFonts w:hint="eastAsia" w:hAnsi="宋体"/>
        </w:rPr>
        <w:t>274.93</w:t>
      </w:r>
      <w:r>
        <w:rPr>
          <w:rStyle w:val="21"/>
          <w:rFonts w:hAnsi="宋体"/>
        </w:rPr>
        <w:t>万元（工资福利</w:t>
      </w:r>
      <w:r>
        <w:rPr>
          <w:rStyle w:val="21"/>
          <w:rFonts w:hint="eastAsia" w:hAnsi="宋体"/>
        </w:rPr>
        <w:t>252.37</w:t>
      </w:r>
      <w:r>
        <w:rPr>
          <w:rStyle w:val="21"/>
          <w:rFonts w:hAnsi="宋体"/>
        </w:rPr>
        <w:t>万元，对个人及家庭的补助</w:t>
      </w:r>
      <w:r>
        <w:rPr>
          <w:rStyle w:val="21"/>
          <w:rFonts w:hint="eastAsia" w:hAnsi="宋体"/>
        </w:rPr>
        <w:t>22.56</w:t>
      </w:r>
      <w:r>
        <w:rPr>
          <w:rStyle w:val="21"/>
          <w:rFonts w:hAnsi="宋体"/>
        </w:rPr>
        <w:t>万元），一般商品服务支出</w:t>
      </w:r>
      <w:r>
        <w:rPr>
          <w:rStyle w:val="21"/>
          <w:rFonts w:hint="eastAsia" w:hAnsi="宋体"/>
        </w:rPr>
        <w:t>37.98</w:t>
      </w:r>
      <w:r>
        <w:rPr>
          <w:rStyle w:val="21"/>
          <w:rFonts w:hAnsi="宋体"/>
        </w:rPr>
        <w:t>万元。</w:t>
      </w:r>
    </w:p>
    <w:p w14:paraId="71174C61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Ansi="宋体"/>
        </w:rPr>
        <w:t>2.预算调整</w:t>
      </w:r>
    </w:p>
    <w:p w14:paraId="229D7141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Ansi="宋体"/>
        </w:rPr>
        <w:t>20</w:t>
      </w:r>
      <w:r>
        <w:rPr>
          <w:rStyle w:val="21"/>
          <w:rFonts w:hint="eastAsia" w:hAnsi="宋体"/>
        </w:rPr>
        <w:t>20</w:t>
      </w:r>
      <w:r>
        <w:rPr>
          <w:rStyle w:val="21"/>
          <w:rFonts w:hAnsi="宋体"/>
        </w:rPr>
        <w:t>年预算追加</w:t>
      </w:r>
      <w:r>
        <w:rPr>
          <w:rStyle w:val="21"/>
          <w:rFonts w:hint="eastAsia" w:hAnsi="宋体"/>
        </w:rPr>
        <w:t>528.55</w:t>
      </w:r>
      <w:r>
        <w:rPr>
          <w:rStyle w:val="21"/>
          <w:rFonts w:hAnsi="宋体"/>
        </w:rPr>
        <w:t>万元，主要为20</w:t>
      </w:r>
      <w:r>
        <w:rPr>
          <w:rStyle w:val="21"/>
          <w:rFonts w:hint="eastAsia" w:hAnsi="宋体"/>
        </w:rPr>
        <w:t>20</w:t>
      </w:r>
      <w:r>
        <w:rPr>
          <w:rStyle w:val="21"/>
          <w:rFonts w:hAnsi="宋体"/>
        </w:rPr>
        <w:t>年度工会工作经费。</w:t>
      </w:r>
    </w:p>
    <w:p w14:paraId="1BA7B0FE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Ansi="宋体"/>
        </w:rPr>
        <w:t>3、决算情况</w:t>
      </w:r>
    </w:p>
    <w:p w14:paraId="595A6F1B">
      <w:pPr>
        <w:snapToGrid w:val="0"/>
        <w:spacing w:line="520" w:lineRule="exact"/>
        <w:ind w:firstLine="640" w:firstLineChars="200"/>
        <w:rPr>
          <w:rStyle w:val="21"/>
          <w:rFonts w:hAnsi="宋体"/>
        </w:rPr>
      </w:pPr>
      <w:r>
        <w:rPr>
          <w:rStyle w:val="21"/>
          <w:rFonts w:hAnsi="宋体"/>
        </w:rPr>
        <w:t>决算收入</w:t>
      </w:r>
      <w:r>
        <w:rPr>
          <w:rStyle w:val="21"/>
          <w:rFonts w:hint="eastAsia" w:hAnsi="宋体"/>
        </w:rPr>
        <w:t>841.46</w:t>
      </w:r>
      <w:r>
        <w:rPr>
          <w:rStyle w:val="21"/>
          <w:rFonts w:hAnsi="宋体"/>
        </w:rPr>
        <w:t>万元，支出</w:t>
      </w:r>
      <w:r>
        <w:rPr>
          <w:rStyle w:val="21"/>
          <w:rFonts w:hint="eastAsia" w:hAnsi="宋体"/>
        </w:rPr>
        <w:t>841.46</w:t>
      </w:r>
      <w:r>
        <w:rPr>
          <w:rStyle w:val="21"/>
          <w:rFonts w:hAnsi="宋体"/>
        </w:rPr>
        <w:t>万元，</w:t>
      </w:r>
      <w:r>
        <w:rPr>
          <w:rStyle w:val="21"/>
          <w:rFonts w:hint="eastAsia" w:hAnsi="宋体"/>
        </w:rPr>
        <w:t>其中</w:t>
      </w:r>
      <w:r>
        <w:rPr>
          <w:rStyle w:val="21"/>
          <w:rFonts w:hAnsi="宋体"/>
        </w:rPr>
        <w:t>基本支出</w:t>
      </w:r>
      <w:r>
        <w:rPr>
          <w:rStyle w:val="21"/>
          <w:rFonts w:hint="eastAsia" w:hAnsi="宋体"/>
        </w:rPr>
        <w:t>829.13万元，项目支出12.33万元</w:t>
      </w:r>
      <w:r>
        <w:rPr>
          <w:rStyle w:val="21"/>
          <w:rFonts w:hAnsi="宋体"/>
        </w:rPr>
        <w:t>。</w:t>
      </w:r>
    </w:p>
    <w:p w14:paraId="0C2A6B65">
      <w:pPr>
        <w:widowControl/>
        <w:jc w:val="left"/>
        <w:textAlignment w:val="center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二、部门整体支出管理及使用情况</w:t>
      </w:r>
    </w:p>
    <w:p w14:paraId="217741DD">
      <w:pPr>
        <w:widowControl/>
        <w:jc w:val="left"/>
        <w:textAlignment w:val="center"/>
        <w:rPr>
          <w:rFonts w:ascii="楷体_GB2312" w:hAnsi="宋体" w:eastAsia="楷体_GB2312" w:cs="楷体_GB2312"/>
          <w:b/>
          <w:color w:val="000000"/>
          <w:sz w:val="32"/>
          <w:szCs w:val="32"/>
        </w:rPr>
      </w:pP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</w:rPr>
        <w:t>（一）基本支出</w:t>
      </w:r>
    </w:p>
    <w:p w14:paraId="5D75E117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基本支出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是</w:t>
      </w:r>
      <w:r>
        <w:rPr>
          <w:rStyle w:val="21"/>
          <w:rFonts w:hint="eastAsia" w:hAnsi="宋体"/>
        </w:rPr>
        <w:t>为保障单位机构正常运转、完成日常工作任务而发生的各项支出，包括用于基本工资、津贴补贴等人员经费以及办公费、印刷费、水电费、办公设备购置等日常公用经费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，人员经费支出376.47万元，日常公用经费支出452.6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万元，均为一般公共预算财政拨款，其中</w:t>
      </w:r>
      <w:r>
        <w:rPr>
          <w:rStyle w:val="22"/>
          <w:rFonts w:eastAsia="仿宋_GB2312"/>
        </w:rPr>
        <w:t>“</w:t>
      </w:r>
      <w:r>
        <w:rPr>
          <w:rStyle w:val="21"/>
          <w:rFonts w:hAnsi="宋体"/>
        </w:rPr>
        <w:t>三公</w:t>
      </w:r>
      <w:r>
        <w:rPr>
          <w:rStyle w:val="22"/>
          <w:rFonts w:eastAsia="仿宋_GB2312"/>
        </w:rPr>
        <w:t>”</w:t>
      </w:r>
      <w:r>
        <w:rPr>
          <w:rStyle w:val="21"/>
          <w:rFonts w:hAnsi="宋体"/>
        </w:rPr>
        <w:t>经费</w:t>
      </w:r>
      <w:r>
        <w:rPr>
          <w:rStyle w:val="21"/>
          <w:rFonts w:hint="eastAsia" w:hAnsi="宋体"/>
        </w:rPr>
        <w:t>支出0.49万元，较上年减少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59.28%，均为公务接待费。</w:t>
      </w:r>
    </w:p>
    <w:p w14:paraId="16C9323D">
      <w:pPr>
        <w:widowControl/>
        <w:jc w:val="left"/>
        <w:textAlignment w:val="center"/>
        <w:rPr>
          <w:rFonts w:ascii="楷体_GB2312" w:hAnsi="宋体" w:eastAsia="楷体_GB2312" w:cs="楷体_GB2312"/>
          <w:b/>
          <w:color w:val="000000"/>
          <w:sz w:val="32"/>
          <w:szCs w:val="32"/>
        </w:rPr>
      </w:pPr>
      <w:r>
        <w:rPr>
          <w:rFonts w:ascii="楷体_GB2312" w:hAnsi="宋体" w:eastAsia="楷体_GB2312" w:cs="楷体_GB2312"/>
          <w:b/>
          <w:color w:val="000000"/>
          <w:kern w:val="0"/>
          <w:sz w:val="32"/>
          <w:szCs w:val="32"/>
        </w:rPr>
        <w:t>（二）项目支出</w:t>
      </w:r>
    </w:p>
    <w:p w14:paraId="16986015">
      <w:pPr>
        <w:widowControl/>
        <w:ind w:firstLine="640" w:firstLineChars="200"/>
        <w:jc w:val="left"/>
        <w:textAlignment w:val="center"/>
        <w:rPr>
          <w:rFonts w:ascii="Times New Roman" w:hAnsi="Times New Roman" w:eastAsia="宋体" w:cs="Times New Roman"/>
          <w:color w:val="000000"/>
          <w:sz w:val="32"/>
          <w:szCs w:val="32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1</w:t>
      </w:r>
      <w:r>
        <w:rPr>
          <w:rStyle w:val="21"/>
          <w:rFonts w:hAnsi="Times New Roman"/>
        </w:rPr>
        <w:t>.项目资金</w:t>
      </w:r>
      <w:r>
        <w:rPr>
          <w:rStyle w:val="21"/>
          <w:rFonts w:hint="eastAsia" w:hAnsi="Times New Roman"/>
        </w:rPr>
        <w:t>支出共12.33万元，均为财政资金</w:t>
      </w:r>
      <w:r>
        <w:rPr>
          <w:rStyle w:val="21"/>
          <w:rFonts w:hAnsi="Times New Roman"/>
        </w:rPr>
        <w:t>。</w:t>
      </w:r>
    </w:p>
    <w:p w14:paraId="19613481">
      <w:pPr>
        <w:widowControl/>
        <w:ind w:firstLine="640" w:firstLineChars="200"/>
        <w:jc w:val="left"/>
        <w:textAlignment w:val="center"/>
        <w:rPr>
          <w:rFonts w:ascii="Times New Roman" w:hAnsi="Times New Roman" w:eastAsia="宋体" w:cs="Times New Roman"/>
          <w:color w:val="000000"/>
          <w:sz w:val="32"/>
          <w:szCs w:val="32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2</w:t>
      </w:r>
      <w:r>
        <w:rPr>
          <w:rStyle w:val="21"/>
          <w:rFonts w:hAnsi="Times New Roman"/>
        </w:rPr>
        <w:t>.项目资金（主要指财政资金）实际使用情况</w:t>
      </w:r>
      <w:r>
        <w:rPr>
          <w:rStyle w:val="21"/>
          <w:rFonts w:hint="eastAsia" w:hAnsi="Times New Roman"/>
        </w:rPr>
        <w:t>为：春节慰问6.6万元、劳模退休一次性补助5.73万元</w:t>
      </w:r>
      <w:r>
        <w:rPr>
          <w:rStyle w:val="21"/>
          <w:rFonts w:hAnsi="Times New Roman"/>
        </w:rPr>
        <w:t>。</w:t>
      </w:r>
    </w:p>
    <w:p w14:paraId="7B54CC3C">
      <w:pPr>
        <w:widowControl/>
        <w:ind w:firstLine="640" w:firstLineChars="200"/>
        <w:jc w:val="left"/>
        <w:textAlignment w:val="center"/>
        <w:rPr>
          <w:rFonts w:ascii="Times New Roman" w:hAnsi="Times New Roman" w:eastAsia="宋体" w:cs="Times New Roman"/>
          <w:color w:val="000000"/>
          <w:sz w:val="32"/>
          <w:szCs w:val="32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3</w:t>
      </w:r>
      <w:r>
        <w:rPr>
          <w:rStyle w:val="21"/>
          <w:rFonts w:hAnsi="Times New Roman"/>
        </w:rPr>
        <w:t>.项目资金管理</w:t>
      </w:r>
      <w:r>
        <w:rPr>
          <w:rStyle w:val="21"/>
          <w:rFonts w:hint="eastAsia" w:hAnsi="Times New Roman"/>
        </w:rPr>
        <w:t>支出严格按照相关</w:t>
      </w:r>
      <w:r>
        <w:rPr>
          <w:rStyle w:val="21"/>
          <w:rFonts w:hAnsi="Times New Roman"/>
        </w:rPr>
        <w:t>管理制度、办法执行。</w:t>
      </w:r>
    </w:p>
    <w:p w14:paraId="4D4E822A">
      <w:pPr>
        <w:widowControl/>
        <w:jc w:val="left"/>
        <w:textAlignment w:val="center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三、部门项目组织实施情况</w:t>
      </w:r>
    </w:p>
    <w:p w14:paraId="31F92C30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无</w:t>
      </w:r>
    </w:p>
    <w:p w14:paraId="6E7EC70B">
      <w:pPr>
        <w:widowControl/>
        <w:jc w:val="left"/>
        <w:textAlignment w:val="center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四、资产管理情况</w:t>
      </w:r>
    </w:p>
    <w:p w14:paraId="3443574D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截至2020年12月31日,本部门共有车辆0辆;单位价值50万元以上通用设备0台（套），单价100万元以上专用设备0台（套）。</w:t>
      </w:r>
    </w:p>
    <w:p w14:paraId="396F6380">
      <w:pPr>
        <w:widowControl/>
        <w:jc w:val="left"/>
        <w:textAlignment w:val="center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五、部门整体支出绩效情况</w:t>
      </w:r>
    </w:p>
    <w:p w14:paraId="275DA9F1">
      <w:pPr>
        <w:widowControl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（一）经济性分析</w:t>
      </w:r>
    </w:p>
    <w:p w14:paraId="0A536CAF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1、预算配置方面，总体较为科学合理。</w:t>
      </w:r>
    </w:p>
    <w:p w14:paraId="1CCE0369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（1）财政供养人员控制率为1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87.5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%；</w:t>
      </w:r>
    </w:p>
    <w:p w14:paraId="772F9A76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（2）“三公经费”较上年下降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59.28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%，完成较上年下降5%的预算目标；</w:t>
      </w:r>
    </w:p>
    <w:p w14:paraId="28764A44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（3）重点支出安排率超过90%。</w:t>
      </w:r>
    </w:p>
    <w:p w14:paraId="7876720F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2、预算执行方面，各项指标基本顺利完成。</w:t>
      </w:r>
    </w:p>
    <w:p w14:paraId="00C60232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（1）支出基本上按进度顺利完成；</w:t>
      </w:r>
    </w:p>
    <w:p w14:paraId="2EBD8E40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（2）“三公经费”控制率为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49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%；</w:t>
      </w:r>
    </w:p>
    <w:p w14:paraId="7F2AE822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（3）政府采购执行率为100%。</w:t>
      </w:r>
    </w:p>
    <w:p w14:paraId="45E917A0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3、预算管理方面，制度执行总体较为有效。</w:t>
      </w:r>
    </w:p>
    <w:p w14:paraId="7143CC01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（1）修订完善了管理制度，相关制度合法合规，并得到有效执行；</w:t>
      </w:r>
    </w:p>
    <w:p w14:paraId="7608AE15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（2）合理安排支出进度和支出项目，加强资金使用管理，严格遵守各项财经纪律的，支出依据合规，在资金的使用上无虚列支出、截留挤占挪用、超标准开支、超预算情况。</w:t>
      </w:r>
    </w:p>
    <w:p w14:paraId="38808CDB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4、资产管理方面，总体执行较好。</w:t>
      </w:r>
    </w:p>
    <w:p w14:paraId="3F4A9412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建立了资产管理制度，资产配置合理，定期进行了盘点和资产清理，资产保存完整并且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账实相符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。</w:t>
      </w:r>
    </w:p>
    <w:p w14:paraId="6C0435C0">
      <w:pPr>
        <w:widowControl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(二）效率性分析</w:t>
      </w:r>
    </w:p>
    <w:p w14:paraId="61B29014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1、加强自身建设，建立健全日常管理制度，保证单位机构正常运转；</w:t>
      </w:r>
      <w:bookmarkStart w:id="0" w:name="_GoBack"/>
      <w:bookmarkEnd w:id="0"/>
    </w:p>
    <w:p w14:paraId="0769D93B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2、人员经费按相关政策基本发放到位；</w:t>
      </w:r>
    </w:p>
    <w:p w14:paraId="770AB113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3、严格控制三公经费支出，三公经费较上年下降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59.28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%。20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20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年度“三公”经费财政拨款支出预算为1万元，支出决算为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0.49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万元，完成预算的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49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%。</w:t>
      </w:r>
    </w:p>
    <w:p w14:paraId="67849643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4、顺利完成20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20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年各项工作及年初设立的预算绩效目标，支出总额控制在预算总额以内。</w:t>
      </w:r>
    </w:p>
    <w:p w14:paraId="04CD4B19">
      <w:pPr>
        <w:widowControl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(三）有效性分析</w:t>
      </w:r>
    </w:p>
    <w:p w14:paraId="0546E03A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1、发挥工会职能，全力抗击疫情影响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，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年初疫情期间，市总工会筹集慰问资金40余万元，采购大量慰问物资，对一线医务人员、一线抗疫职工、加班加点生产抗疫物资的企业职工开展系列慰问活动，支持疫情防控。</w:t>
      </w:r>
    </w:p>
    <w:p w14:paraId="5A280727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2、加强工会组建入会工作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，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扩大覆盖面、增强凝聚力，强力推进“小三级”工会组织建设，新建工会组织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120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多家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；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积极推进工会示范点建设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，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在全市创建了10个乡镇工会联合会示范点，10个部门单位工会示范点，10个企业（行业）工会示范点。</w:t>
      </w:r>
    </w:p>
    <w:p w14:paraId="0D7B057A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3、精准帮扶困难职工解困脱困，持续开展职工医疗互助工作，夏送清凉、金秋助学活动。</w:t>
      </w:r>
    </w:p>
    <w:p w14:paraId="5BCA6453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4、开展劳模评选工作，强化劳模事迹宣传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，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举办全市劳模工匠表彰大会。</w:t>
      </w:r>
    </w:p>
    <w:p w14:paraId="7C8F2556">
      <w:pPr>
        <w:widowControl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（四）可持续性分析</w:t>
      </w:r>
    </w:p>
    <w:p w14:paraId="368F3FE6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1、人员机构安排方面</w:t>
      </w:r>
    </w:p>
    <w:p w14:paraId="44822FA9">
      <w:pPr>
        <w:widowControl/>
        <w:ind w:firstLine="640" w:firstLineChars="200"/>
        <w:jc w:val="left"/>
        <w:textAlignment w:val="center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我单位共有编制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8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个，20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20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年底实际在编人员1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人，人员超编，给工作带来一定难度。</w:t>
      </w:r>
    </w:p>
    <w:p w14:paraId="7644C993">
      <w:pPr>
        <w:widowControl/>
        <w:jc w:val="left"/>
        <w:textAlignment w:val="center"/>
        <w:rPr>
          <w:rFonts w:ascii="黑体" w:hAnsi="宋体" w:eastAsia="黑体" w:cs="黑体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六、存在的主要问题</w:t>
      </w:r>
    </w:p>
    <w:p w14:paraId="40AF69FB"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1、人员超编。</w:t>
      </w:r>
    </w:p>
    <w:p w14:paraId="51995040"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、预算绩效管理水平不高，人员素质有待进一步提高。</w:t>
      </w:r>
    </w:p>
    <w:p w14:paraId="26A29A45">
      <w:pP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七</w:t>
      </w:r>
      <w:r>
        <w:rPr>
          <w:rFonts w:ascii="黑体" w:hAnsi="宋体" w:eastAsia="黑体" w:cs="黑体"/>
          <w:color w:val="000000"/>
          <w:kern w:val="0"/>
          <w:sz w:val="32"/>
          <w:szCs w:val="32"/>
        </w:rPr>
        <w:t>、改进措施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和有关</w:t>
      </w:r>
      <w:r>
        <w:rPr>
          <w:rFonts w:ascii="黑体" w:hAnsi="宋体" w:eastAsia="黑体" w:cs="黑体"/>
          <w:color w:val="000000"/>
          <w:kern w:val="0"/>
          <w:sz w:val="32"/>
          <w:szCs w:val="32"/>
        </w:rPr>
        <w:t>建设</w:t>
      </w:r>
    </w:p>
    <w:p w14:paraId="5FDBE37F">
      <w:pPr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1、建议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市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委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、市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政府增加编制。</w:t>
      </w:r>
    </w:p>
    <w:p w14:paraId="67D6F00F">
      <w:pPr>
        <w:ind w:firstLine="640" w:firstLineChars="200"/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、建议财政部门能提供学习培训机会，针对预算绩效管理工作开展系统的培训，提高单位的预算绩效管理工作水平。加强《预算法》、《行政单位会计制度》等学习，进一步完善预算评价指标体系，规范部门预算收支核算，制定和完善基本支出、项目支出等各项支出标准，严格按项目和进度执行预算，增强预算的约束力和严肃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IxZjQxNzU1NWZkNmNiNDU1YTdmZThjMWY1N2NhOWYifQ=="/>
  </w:docVars>
  <w:rsids>
    <w:rsidRoot w:val="31EC104A"/>
    <w:rsid w:val="00192BAC"/>
    <w:rsid w:val="004D133E"/>
    <w:rsid w:val="00702237"/>
    <w:rsid w:val="00C04E75"/>
    <w:rsid w:val="00ED17A1"/>
    <w:rsid w:val="11CE1749"/>
    <w:rsid w:val="31EC104A"/>
    <w:rsid w:val="41CB7597"/>
    <w:rsid w:val="52DF18BC"/>
    <w:rsid w:val="6976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iPriority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qFormat="1" w:unhideWhenUsed="0" w:uiPriority="0" w:semiHidden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7"/>
    <w:unhideWhenUsed/>
    <w:qFormat/>
    <w:uiPriority w:val="0"/>
    <w:pPr>
      <w:jc w:val="left"/>
    </w:pPr>
  </w:style>
  <w:style w:type="paragraph" w:styleId="4">
    <w:name w:val="Balloon Text"/>
    <w:basedOn w:val="1"/>
    <w:link w:val="29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2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5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jc w:val="left"/>
    </w:pPr>
    <w:rPr>
      <w:rFonts w:hint="eastAsia" w:ascii="微软雅黑" w:hAnsi="微软雅黑" w:eastAsia="微软雅黑" w:cs="Times New Roman"/>
      <w:kern w:val="0"/>
      <w:szCs w:val="21"/>
    </w:rPr>
  </w:style>
  <w:style w:type="paragraph" w:styleId="8">
    <w:name w:val="annotation subject"/>
    <w:basedOn w:val="3"/>
    <w:next w:val="3"/>
    <w:link w:val="28"/>
    <w:semiHidden/>
    <w:unhideWhenUsed/>
    <w:qFormat/>
    <w:uiPriority w:val="0"/>
    <w:rPr>
      <w:b/>
      <w:bCs/>
    </w:rPr>
  </w:style>
  <w:style w:type="character" w:styleId="11">
    <w:name w:val="FollowedHyperlink"/>
    <w:basedOn w:val="10"/>
    <w:qFormat/>
    <w:uiPriority w:val="0"/>
    <w:rPr>
      <w:color w:val="202020"/>
      <w:u w:val="none"/>
    </w:rPr>
  </w:style>
  <w:style w:type="character" w:styleId="12">
    <w:name w:val="Emphasis"/>
    <w:basedOn w:val="10"/>
    <w:qFormat/>
    <w:uiPriority w:val="0"/>
  </w:style>
  <w:style w:type="character" w:styleId="13">
    <w:name w:val="HTML Definition"/>
    <w:basedOn w:val="10"/>
    <w:qFormat/>
    <w:uiPriority w:val="0"/>
  </w:style>
  <w:style w:type="character" w:styleId="14">
    <w:name w:val="HTML Acronym"/>
    <w:basedOn w:val="10"/>
    <w:qFormat/>
    <w:uiPriority w:val="0"/>
  </w:style>
  <w:style w:type="character" w:styleId="15">
    <w:name w:val="HTML Variable"/>
    <w:basedOn w:val="10"/>
    <w:qFormat/>
    <w:uiPriority w:val="0"/>
  </w:style>
  <w:style w:type="character" w:styleId="16">
    <w:name w:val="Hyperlink"/>
    <w:basedOn w:val="10"/>
    <w:qFormat/>
    <w:uiPriority w:val="0"/>
    <w:rPr>
      <w:color w:val="202020"/>
      <w:u w:val="none"/>
    </w:rPr>
  </w:style>
  <w:style w:type="character" w:styleId="17">
    <w:name w:val="HTML Code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8">
    <w:name w:val="annotation reference"/>
    <w:basedOn w:val="10"/>
    <w:unhideWhenUsed/>
    <w:uiPriority w:val="0"/>
    <w:rPr>
      <w:sz w:val="21"/>
      <w:szCs w:val="21"/>
    </w:rPr>
  </w:style>
  <w:style w:type="character" w:styleId="19">
    <w:name w:val="HTML Cite"/>
    <w:basedOn w:val="10"/>
    <w:uiPriority w:val="0"/>
  </w:style>
  <w:style w:type="character" w:customStyle="1" w:styleId="20">
    <w:name w:val="font51"/>
    <w:basedOn w:val="10"/>
    <w:qFormat/>
    <w:uiPriority w:val="0"/>
    <w:rPr>
      <w:rFonts w:hint="default" w:ascii="方正小标宋简体" w:hAnsi="方正小标宋简体" w:eastAsia="方正小标宋简体" w:cs="方正小标宋简体"/>
      <w:b/>
      <w:color w:val="000000"/>
      <w:sz w:val="44"/>
      <w:szCs w:val="44"/>
      <w:u w:val="none"/>
    </w:rPr>
  </w:style>
  <w:style w:type="character" w:customStyle="1" w:styleId="21">
    <w:name w:val="font61"/>
    <w:basedOn w:val="10"/>
    <w:qFormat/>
    <w:uiPriority w:val="0"/>
    <w:rPr>
      <w:rFonts w:hint="default" w:ascii="仿宋_GB2312" w:eastAsia="仿宋_GB2312" w:cs="仿宋_GB2312"/>
      <w:color w:val="000000"/>
      <w:sz w:val="32"/>
      <w:szCs w:val="32"/>
      <w:u w:val="none"/>
    </w:rPr>
  </w:style>
  <w:style w:type="character" w:customStyle="1" w:styleId="22">
    <w:name w:val="font01"/>
    <w:basedOn w:val="10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4">
    <w:name w:val="列出段落1"/>
    <w:basedOn w:val="1"/>
    <w:qFormat/>
    <w:uiPriority w:val="34"/>
    <w:pPr>
      <w:widowControl/>
      <w:adjustRightInd w:val="0"/>
      <w:snapToGrid w:val="0"/>
      <w:spacing w:after="200"/>
      <w:ind w:firstLine="420" w:firstLineChars="200"/>
    </w:pPr>
    <w:rPr>
      <w:rFonts w:ascii="Tahoma" w:hAnsi="Tahoma" w:eastAsia="微软雅黑"/>
      <w:kern w:val="0"/>
      <w:sz w:val="22"/>
      <w:szCs w:val="22"/>
    </w:rPr>
  </w:style>
  <w:style w:type="character" w:customStyle="1" w:styleId="25">
    <w:name w:val="页眉 字符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页脚 字符"/>
    <w:basedOn w:val="10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批注文字 字符"/>
    <w:basedOn w:val="10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8">
    <w:name w:val="批注主题 字符"/>
    <w:basedOn w:val="27"/>
    <w:link w:val="8"/>
    <w:semiHidden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9">
    <w:name w:val="批注框文本 字符"/>
    <w:basedOn w:val="10"/>
    <w:link w:val="4"/>
    <w:semiHidden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2169</Words>
  <Characters>2325</Characters>
  <Lines>17</Lines>
  <Paragraphs>4</Paragraphs>
  <TotalTime>55</TotalTime>
  <ScaleCrop>false</ScaleCrop>
  <LinksUpToDate>false</LinksUpToDate>
  <CharactersWithSpaces>2326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2021-03-18T01:13:00Z</dcterms:created>
  <dc:creator>呵呵</dc:creator>
  <cp:lastModifiedBy>彭博</cp:lastModifiedBy>
  <cp:lastPrinted>2021-03-19T01:11:00Z</cp:lastPrinted>
  <dcterms:modified xsi:type="dcterms:W3CDTF">2026-03-26T02:37:33Z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C2A5A7122E1B42219368897D9F845472</vt:lpwstr>
  </property>
  <property fmtid="{D5CDD505-2E9C-101B-9397-08002B2CF9AE}" pid="4" name="KSOTemplateDocerSaveRecord">
    <vt:lpwstr>eyJoZGlkIjoiNDIxZjQxNzU1NWZkNmNiNDU1YTdmZThjMWY1N2NhOWYiLCJ1c2VySWQiOiIxNTc4NzM5MzE5In0=</vt:lpwstr>
  </property>
</Properties>
</file>