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
      <w:pPr>
        <w:jc w:val="center"/>
        <w:rPr>
          <w:b/>
        </w:rPr>
      </w:pPr>
      <w:r>
        <w:rPr>
          <w:rFonts w:hint="eastAsia"/>
          <w:b/>
        </w:rPr>
        <w:t>宁乡市总工会</w:t>
      </w:r>
      <w:r>
        <w:rPr>
          <w:b/>
        </w:rPr>
        <w:t xml:space="preserve">2021 </w:t>
      </w:r>
      <w:r>
        <w:rPr>
          <w:rFonts w:hint="eastAsia"/>
          <w:b/>
        </w:rPr>
        <w:t>年部门预算说明</w:t>
      </w:r>
    </w:p>
    <w:p>
      <w:pPr>
        <w:jc w:val="center"/>
        <w:rPr>
          <w:b/>
        </w:rPr>
      </w:pPr>
    </w:p>
    <w:p>
      <w:pPr>
        <w:pStyle w:val="6"/>
        <w:shd w:val="clear" w:color="auto" w:fill="FFFFFF"/>
        <w:spacing w:before="0" w:beforeAutospacing="0" w:after="0" w:afterAutospacing="0" w:line="400" w:lineRule="atLeast"/>
        <w:ind w:firstLine="480"/>
        <w:jc w:val="center"/>
        <w:rPr>
          <w:rFonts w:ascii="微软雅黑" w:hAnsi="微软雅黑"/>
          <w:color w:val="333333"/>
          <w:sz w:val="21"/>
          <w:szCs w:val="21"/>
        </w:rPr>
      </w:pPr>
      <w:r>
        <w:rPr>
          <w:rStyle w:val="10"/>
          <w:rFonts w:hint="eastAsia" w:ascii="仿宋_GB2312" w:hAnsi="微软雅黑" w:eastAsia="仿宋_GB2312" w:cs="宋体"/>
          <w:color w:val="333333"/>
          <w:sz w:val="21"/>
          <w:szCs w:val="21"/>
        </w:rPr>
        <w:t>目　　录</w:t>
      </w:r>
    </w:p>
    <w:p>
      <w:pPr>
        <w:pStyle w:val="6"/>
        <w:numPr>
          <w:ilvl w:val="0"/>
          <w:numId w:val="1"/>
        </w:numPr>
        <w:shd w:val="clear" w:color="auto" w:fill="FFFFFF"/>
        <w:spacing w:before="0" w:beforeAutospacing="0" w:after="0" w:afterAutospacing="0" w:line="360" w:lineRule="auto"/>
        <w:ind w:firstLine="370"/>
        <w:rPr>
          <w:b/>
        </w:rPr>
      </w:pPr>
      <w:commentRangeStart w:id="0"/>
      <w:r>
        <w:rPr>
          <w:rFonts w:hint="eastAsia"/>
          <w:b/>
        </w:rPr>
        <w:t>部门基本概况</w:t>
      </w:r>
    </w:p>
    <w:p>
      <w:pPr>
        <w:pStyle w:val="6"/>
        <w:numPr>
          <w:ilvl w:val="0"/>
          <w:numId w:val="1"/>
        </w:numPr>
        <w:shd w:val="clear" w:color="auto" w:fill="FFFFFF"/>
        <w:spacing w:before="0" w:beforeAutospacing="0" w:after="0" w:afterAutospacing="0" w:line="360" w:lineRule="auto"/>
        <w:ind w:firstLine="370"/>
      </w:pPr>
      <w:r>
        <w:rPr>
          <w:rFonts w:hint="eastAsia"/>
        </w:rPr>
        <w:t>部门预算单位构成</w:t>
      </w:r>
    </w:p>
    <w:p>
      <w:pPr>
        <w:pStyle w:val="6"/>
        <w:numPr>
          <w:ilvl w:val="0"/>
          <w:numId w:val="1"/>
        </w:numPr>
        <w:shd w:val="clear" w:color="auto" w:fill="FFFFFF"/>
        <w:spacing w:before="0" w:beforeAutospacing="0" w:after="0" w:afterAutospacing="0" w:line="360" w:lineRule="auto"/>
        <w:ind w:firstLine="370"/>
      </w:pPr>
      <w:r>
        <w:rPr>
          <w:rFonts w:hint="eastAsia"/>
          <w:b/>
          <w:bCs/>
        </w:rPr>
        <w:t>涉及机构改革部门情况</w:t>
      </w:r>
    </w:p>
    <w:p>
      <w:pPr>
        <w:pStyle w:val="6"/>
        <w:shd w:val="clear" w:color="auto" w:fill="FFFFFF"/>
        <w:spacing w:before="0" w:beforeAutospacing="0" w:after="0" w:afterAutospacing="0" w:line="360" w:lineRule="auto"/>
        <w:ind w:firstLine="370"/>
        <w:rPr>
          <w:color w:val="333333"/>
        </w:rPr>
      </w:pPr>
      <w:r>
        <w:rPr>
          <w:rFonts w:hint="eastAsia"/>
          <w:b/>
        </w:rPr>
        <w:t>四、部门收支总体情况</w:t>
      </w:r>
    </w:p>
    <w:p>
      <w:pPr>
        <w:pStyle w:val="6"/>
        <w:shd w:val="clear" w:color="auto" w:fill="FFFFFF"/>
        <w:spacing w:before="0" w:beforeAutospacing="0" w:after="0" w:afterAutospacing="0" w:line="360" w:lineRule="auto"/>
        <w:ind w:firstLine="370"/>
        <w:rPr>
          <w:color w:val="333333"/>
        </w:rPr>
      </w:pPr>
      <w:r>
        <w:rPr>
          <w:rFonts w:hint="eastAsia"/>
          <w:b/>
        </w:rPr>
        <w:t>五、一般公共预算拨款支出预算</w:t>
      </w:r>
    </w:p>
    <w:p>
      <w:pPr>
        <w:pStyle w:val="6"/>
        <w:shd w:val="clear" w:color="auto" w:fill="FFFFFF"/>
        <w:spacing w:before="0" w:beforeAutospacing="0" w:after="0" w:afterAutospacing="0" w:line="360" w:lineRule="auto"/>
        <w:ind w:firstLine="370"/>
        <w:rPr>
          <w:b/>
        </w:rPr>
      </w:pPr>
      <w:r>
        <w:rPr>
          <w:rFonts w:hint="eastAsia"/>
          <w:b/>
        </w:rPr>
        <w:t>六、其他重要事项的情况说明</w:t>
      </w:r>
    </w:p>
    <w:p>
      <w:pPr>
        <w:pStyle w:val="6"/>
        <w:shd w:val="clear" w:color="auto" w:fill="FFFFFF"/>
        <w:spacing w:before="0" w:beforeAutospacing="0" w:after="0" w:afterAutospacing="0" w:line="360" w:lineRule="auto"/>
        <w:ind w:firstLine="370"/>
        <w:rPr>
          <w:color w:val="333333"/>
        </w:rPr>
      </w:pPr>
      <w:r>
        <w:rPr>
          <w:rFonts w:hint="eastAsia"/>
          <w:b/>
        </w:rPr>
        <w:t>七、名词解释</w:t>
      </w:r>
      <w:commentRangeEnd w:id="0"/>
      <w:r>
        <w:rPr>
          <w:rStyle w:val="11"/>
          <w:rFonts w:ascii="Calibri" w:hAnsi="Calibri" w:cs="Times New Roman"/>
          <w:kern w:val="2"/>
        </w:rPr>
        <w:commentReference w:id="0"/>
      </w:r>
    </w:p>
    <w:p>
      <w:pPr>
        <w:spacing w:line="360" w:lineRule="auto"/>
        <w:jc w:val="center"/>
        <w:rPr>
          <w:rFonts w:ascii="宋体" w:hAnsi="宋体" w:cs="宋体"/>
          <w:b/>
          <w:sz w:val="24"/>
          <w:szCs w:val="24"/>
        </w:rPr>
      </w:pPr>
    </w:p>
    <w:p>
      <w:pPr>
        <w:spacing w:line="360" w:lineRule="auto"/>
        <w:rPr>
          <w:rFonts w:ascii="宋体" w:hAnsi="宋体" w:cs="宋体"/>
          <w:b/>
          <w:sz w:val="24"/>
          <w:szCs w:val="24"/>
        </w:rPr>
      </w:pPr>
      <w:r>
        <w:rPr>
          <w:rFonts w:hint="eastAsia" w:ascii="宋体" w:hAnsi="宋体" w:cs="宋体"/>
          <w:b/>
          <w:sz w:val="24"/>
          <w:szCs w:val="24"/>
        </w:rPr>
        <w:t>一、部门基本概况</w:t>
      </w:r>
    </w:p>
    <w:p>
      <w:pPr>
        <w:spacing w:line="360" w:lineRule="auto"/>
        <w:rPr>
          <w:rFonts w:ascii="宋体" w:hAnsi="宋体" w:cs="宋体"/>
          <w:b/>
          <w:sz w:val="24"/>
          <w:szCs w:val="24"/>
        </w:rPr>
      </w:pPr>
      <w:r>
        <w:rPr>
          <w:rFonts w:hint="eastAsia" w:ascii="宋体" w:hAnsi="宋体" w:cs="宋体"/>
          <w:b/>
          <w:sz w:val="24"/>
          <w:szCs w:val="24"/>
        </w:rPr>
        <w:t>（一）职能职责</w:t>
      </w:r>
    </w:p>
    <w:p>
      <w:pPr>
        <w:spacing w:line="360" w:lineRule="auto"/>
        <w:ind w:firstLine="480" w:firstLineChars="200"/>
        <w:rPr>
          <w:rFonts w:ascii="宋体" w:hAnsi="宋体" w:cs="宋体"/>
          <w:sz w:val="24"/>
          <w:szCs w:val="24"/>
        </w:rPr>
      </w:pPr>
      <w:r>
        <w:rPr>
          <w:rFonts w:hint="eastAsia" w:ascii="宋体" w:hAnsi="宋体" w:cs="宋体"/>
          <w:sz w:val="24"/>
          <w:szCs w:val="24"/>
        </w:rPr>
        <w:t>1、负责各级基层工会组建和换届选举工作、工会组织规范化工作、各级模范职工之家（小家）的申报审批、社团法人资格登记证发放。</w:t>
      </w:r>
    </w:p>
    <w:p>
      <w:pPr>
        <w:spacing w:line="360" w:lineRule="auto"/>
        <w:ind w:firstLine="480" w:firstLineChars="200"/>
        <w:rPr>
          <w:rFonts w:ascii="宋体" w:hAnsi="宋体" w:cs="宋体"/>
          <w:sz w:val="24"/>
          <w:szCs w:val="24"/>
        </w:rPr>
      </w:pPr>
      <w:r>
        <w:rPr>
          <w:rFonts w:hint="eastAsia" w:ascii="宋体" w:hAnsi="宋体" w:cs="宋体"/>
          <w:sz w:val="24"/>
          <w:szCs w:val="24"/>
        </w:rPr>
        <w:t>2、负责民主管理工作，主要是基层厂务公开、工资集体协商、工资集体合同和女职工专项集体合同签订、基层职代会等工作。</w:t>
      </w:r>
    </w:p>
    <w:p>
      <w:pPr>
        <w:spacing w:line="360" w:lineRule="auto"/>
        <w:ind w:firstLine="480" w:firstLineChars="200"/>
        <w:rPr>
          <w:rFonts w:ascii="宋体" w:hAnsi="宋体" w:cs="宋体"/>
          <w:sz w:val="24"/>
          <w:szCs w:val="24"/>
        </w:rPr>
      </w:pPr>
      <w:r>
        <w:rPr>
          <w:rFonts w:hint="eastAsia" w:ascii="宋体" w:hAnsi="宋体" w:cs="宋体"/>
          <w:sz w:val="24"/>
          <w:szCs w:val="24"/>
        </w:rPr>
        <w:t>3、负责全市女职工权益维护，为女职工办理特殊疾病保险、捐资助学、女职工特殊权益维护、专项集体合同签订、女职工组织建设等工作</w:t>
      </w:r>
    </w:p>
    <w:p>
      <w:pPr>
        <w:spacing w:line="360" w:lineRule="auto"/>
        <w:ind w:firstLine="480" w:firstLineChars="200"/>
        <w:rPr>
          <w:rFonts w:ascii="宋体" w:hAnsi="宋体" w:cs="宋体"/>
          <w:sz w:val="24"/>
          <w:szCs w:val="24"/>
        </w:rPr>
      </w:pPr>
      <w:r>
        <w:rPr>
          <w:rFonts w:hint="eastAsia" w:ascii="宋体" w:hAnsi="宋体" w:cs="宋体"/>
          <w:sz w:val="24"/>
          <w:szCs w:val="24"/>
        </w:rPr>
        <w:t>4、负责工会工作信息报道、工会各项活动的宣传报道、文体活动的开展、报刊征订。</w:t>
      </w:r>
    </w:p>
    <w:p>
      <w:pPr>
        <w:spacing w:line="360" w:lineRule="auto"/>
        <w:ind w:firstLine="480" w:firstLineChars="200"/>
        <w:rPr>
          <w:rFonts w:ascii="宋体" w:hAnsi="宋体" w:cs="宋体"/>
          <w:sz w:val="24"/>
          <w:szCs w:val="24"/>
        </w:rPr>
      </w:pPr>
      <w:r>
        <w:rPr>
          <w:rFonts w:hint="eastAsia" w:ascii="宋体" w:hAnsi="宋体" w:cs="宋体"/>
          <w:sz w:val="24"/>
          <w:szCs w:val="24"/>
        </w:rPr>
        <w:t>5、负责本级经费的收管用审查及各级基层工会经费的使用审查。</w:t>
      </w:r>
    </w:p>
    <w:p>
      <w:pPr>
        <w:spacing w:line="360" w:lineRule="auto"/>
        <w:ind w:firstLine="480" w:firstLineChars="200"/>
        <w:rPr>
          <w:rFonts w:ascii="宋体" w:hAnsi="宋体" w:cs="宋体"/>
          <w:b/>
          <w:sz w:val="24"/>
          <w:szCs w:val="24"/>
        </w:rPr>
      </w:pPr>
      <w:r>
        <w:rPr>
          <w:rFonts w:hint="eastAsia" w:ascii="宋体" w:hAnsi="宋体" w:cs="宋体"/>
          <w:sz w:val="24"/>
          <w:szCs w:val="24"/>
        </w:rPr>
        <w:t>6、负责劳模管理、困难职工帮扶、职工劳动竞赛、职工互助医疗等工作。</w:t>
      </w:r>
    </w:p>
    <w:p>
      <w:pPr>
        <w:spacing w:line="360" w:lineRule="auto"/>
        <w:rPr>
          <w:rFonts w:ascii="宋体" w:hAnsi="宋体" w:cs="宋体"/>
          <w:b/>
          <w:sz w:val="24"/>
          <w:szCs w:val="24"/>
        </w:rPr>
      </w:pPr>
      <w:r>
        <w:rPr>
          <w:rFonts w:hint="eastAsia" w:ascii="宋体" w:hAnsi="宋体" w:cs="宋体"/>
          <w:b/>
          <w:sz w:val="24"/>
          <w:szCs w:val="24"/>
        </w:rPr>
        <w:t>（二）机构设置</w:t>
      </w:r>
    </w:p>
    <w:p>
      <w:pPr>
        <w:spacing w:line="360" w:lineRule="auto"/>
        <w:ind w:firstLine="480" w:firstLineChars="200"/>
        <w:rPr>
          <w:rFonts w:ascii="宋体" w:hAnsi="宋体" w:cs="宋体"/>
          <w:b/>
          <w:sz w:val="24"/>
          <w:szCs w:val="24"/>
        </w:rPr>
      </w:pPr>
      <w:r>
        <w:rPr>
          <w:rFonts w:hint="eastAsia" w:ascii="宋体" w:hAnsi="宋体" w:cs="宋体"/>
          <w:sz w:val="24"/>
          <w:szCs w:val="24"/>
        </w:rPr>
        <w:t>我单位为全额预算管理单位，现有编制人员8人，实有在职15人 ，临聘人员9人，退休25人。单位内设4个部室：办公室、经济服务部、基层工作部、权益保障部。</w:t>
      </w:r>
    </w:p>
    <w:p>
      <w:pPr>
        <w:spacing w:line="360" w:lineRule="auto"/>
        <w:rPr>
          <w:rFonts w:ascii="宋体" w:hAnsi="宋体" w:cs="宋体"/>
          <w:b/>
          <w:sz w:val="24"/>
          <w:szCs w:val="24"/>
        </w:rPr>
      </w:pPr>
      <w:r>
        <w:rPr>
          <w:rFonts w:hint="eastAsia" w:ascii="宋体" w:hAnsi="宋体" w:cs="宋体"/>
          <w:b/>
          <w:sz w:val="24"/>
          <w:szCs w:val="24"/>
        </w:rPr>
        <w:t>二、部门预算单位构成</w:t>
      </w:r>
    </w:p>
    <w:p>
      <w:pPr>
        <w:spacing w:line="360" w:lineRule="auto"/>
        <w:ind w:firstLine="480" w:firstLineChars="200"/>
        <w:rPr>
          <w:rFonts w:ascii="宋体" w:hAnsi="宋体" w:cs="宋体"/>
          <w:sz w:val="24"/>
          <w:szCs w:val="24"/>
        </w:rPr>
      </w:pPr>
      <w:r>
        <w:rPr>
          <w:rFonts w:hint="eastAsia" w:ascii="宋体" w:hAnsi="宋体" w:cs="宋体"/>
          <w:sz w:val="24"/>
          <w:szCs w:val="24"/>
        </w:rPr>
        <w:t>纳入2021 年部门预算编制范围的预算单位包括：</w:t>
      </w:r>
    </w:p>
    <w:p>
      <w:pPr>
        <w:spacing w:line="360" w:lineRule="auto"/>
        <w:ind w:firstLine="480"/>
        <w:rPr>
          <w:rFonts w:ascii="宋体" w:hAnsi="宋体" w:cs="宋体"/>
          <w:sz w:val="24"/>
          <w:szCs w:val="24"/>
        </w:rPr>
      </w:pPr>
      <w:r>
        <w:rPr>
          <w:rFonts w:hint="eastAsia" w:ascii="宋体" w:hAnsi="宋体" w:cs="宋体"/>
          <w:sz w:val="24"/>
          <w:szCs w:val="24"/>
        </w:rPr>
        <w:t>宁乡市总工会只有本级，没有其他二级预算单位，因此，纳入2021 年部门预算编制范围的只有宁乡市总工会本级。</w:t>
      </w:r>
    </w:p>
    <w:p>
      <w:pPr>
        <w:spacing w:line="360" w:lineRule="auto"/>
        <w:jc w:val="left"/>
        <w:rPr>
          <w:rFonts w:ascii="宋体" w:hAnsi="宋体" w:cs="宋体"/>
          <w:b/>
          <w:bCs/>
          <w:sz w:val="24"/>
          <w:szCs w:val="24"/>
        </w:rPr>
      </w:pPr>
      <w:r>
        <w:rPr>
          <w:rFonts w:hint="eastAsia" w:ascii="宋体" w:hAnsi="宋体" w:cs="宋体"/>
          <w:b/>
          <w:bCs/>
          <w:sz w:val="24"/>
          <w:szCs w:val="24"/>
        </w:rPr>
        <w:t>三、涉及机构改革部门情况</w:t>
      </w:r>
    </w:p>
    <w:p>
      <w:pPr>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无</w:t>
      </w:r>
    </w:p>
    <w:p>
      <w:pPr>
        <w:spacing w:line="360" w:lineRule="auto"/>
        <w:rPr>
          <w:rFonts w:ascii="宋体" w:hAnsi="宋体" w:cs="宋体"/>
          <w:b/>
          <w:sz w:val="24"/>
          <w:szCs w:val="24"/>
        </w:rPr>
      </w:pPr>
      <w:r>
        <w:rPr>
          <w:rFonts w:hint="eastAsia" w:ascii="宋体" w:hAnsi="宋体" w:cs="宋体"/>
          <w:b/>
          <w:sz w:val="24"/>
          <w:szCs w:val="24"/>
        </w:rPr>
        <w:t>四、部门收支总体情况</w:t>
      </w:r>
    </w:p>
    <w:p>
      <w:pPr>
        <w:spacing w:line="360" w:lineRule="auto"/>
        <w:ind w:firstLine="600" w:firstLineChars="250"/>
        <w:jc w:val="left"/>
        <w:rPr>
          <w:rFonts w:ascii="宋体" w:hAnsi="宋体" w:cs="宋体"/>
          <w:sz w:val="24"/>
          <w:szCs w:val="24"/>
        </w:rPr>
      </w:pPr>
      <w:r>
        <w:rPr>
          <w:rFonts w:hint="eastAsia" w:ascii="宋体" w:hAnsi="宋体" w:cs="宋体"/>
          <w:sz w:val="24"/>
          <w:szCs w:val="24"/>
        </w:rPr>
        <w:t>2021年部门预算包括本级预算和所属单位预算在内的汇总情况（以及对区县（市）转移支付的情况）。</w:t>
      </w:r>
      <w:commentRangeStart w:id="1"/>
      <w:r>
        <w:rPr>
          <w:rFonts w:hint="eastAsia" w:ascii="宋体" w:hAnsi="宋体" w:cs="宋体"/>
          <w:sz w:val="24"/>
          <w:szCs w:val="24"/>
        </w:rPr>
        <w:t>收入既包括一般公共预</w:t>
      </w:r>
      <w:r>
        <w:rPr>
          <w:rStyle w:val="11"/>
        </w:rPr>
        <w:commentReference w:id="2"/>
      </w:r>
      <w:r>
        <w:rPr>
          <w:rFonts w:hint="eastAsia" w:ascii="宋体" w:hAnsi="宋体" w:cs="宋体"/>
          <w:sz w:val="24"/>
          <w:szCs w:val="24"/>
        </w:rPr>
        <w:t>算收入、政府性基金收入和国有资本经营预算收入，又包括事业单位经营服务等收入；支出既包括保障机关及下属事业单位基本运行的经费，也包括总工会归口管理的工会经费。</w:t>
      </w:r>
    </w:p>
    <w:p>
      <w:pPr>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2021年部门预算包括本级预算和所属单位预算在内的汇总情况。收入为一般公共预算收入和其他收入。</w:t>
      </w:r>
      <w:commentRangeEnd w:id="1"/>
      <w:r>
        <w:rPr>
          <w:rStyle w:val="11"/>
        </w:rPr>
        <w:commentReference w:id="1"/>
      </w:r>
    </w:p>
    <w:p>
      <w:pPr>
        <w:spacing w:line="360" w:lineRule="auto"/>
        <w:ind w:firstLine="482" w:firstLineChars="200"/>
        <w:rPr>
          <w:rFonts w:ascii="宋体" w:hAnsi="宋体" w:cs="宋体"/>
          <w:sz w:val="24"/>
          <w:szCs w:val="24"/>
        </w:rPr>
      </w:pPr>
      <w:r>
        <w:rPr>
          <w:rFonts w:hint="eastAsia" w:ascii="宋体" w:hAnsi="宋体" w:cs="宋体"/>
          <w:b/>
          <w:sz w:val="24"/>
          <w:szCs w:val="24"/>
        </w:rPr>
        <w:t>（一）收入预算</w:t>
      </w:r>
      <w:r>
        <w:rPr>
          <w:rFonts w:hint="eastAsia" w:ascii="宋体" w:hAnsi="宋体" w:cs="宋体"/>
          <w:sz w:val="24"/>
          <w:szCs w:val="24"/>
        </w:rPr>
        <w:t>，</w:t>
      </w:r>
      <w:r>
        <w:rPr>
          <w:rFonts w:hint="eastAsia" w:ascii="宋体" w:hAnsi="宋体" w:cs="宋体"/>
          <w:color w:val="000000"/>
          <w:sz w:val="24"/>
          <w:szCs w:val="24"/>
        </w:rPr>
        <w:t>2021年年初预算数390.91万元，其中，一般公共预算拨款362.91万元，国有资源有偿使用收入28万元。收入较去年增加78.31万元，主要是工资福利支出增加35.68万元、商品和服务支出增加0.24万元和对个人和家庭的补助增加42.08万元使财政经费拨款增加。</w:t>
      </w:r>
    </w:p>
    <w:p>
      <w:pPr>
        <w:spacing w:line="360" w:lineRule="auto"/>
        <w:ind w:firstLine="241" w:firstLineChars="100"/>
        <w:rPr>
          <w:rFonts w:ascii="宋体" w:hAnsi="宋体" w:cs="宋体"/>
          <w:sz w:val="24"/>
          <w:szCs w:val="24"/>
        </w:rPr>
      </w:pPr>
      <w:r>
        <w:rPr>
          <w:rFonts w:hint="eastAsia" w:ascii="宋体" w:hAnsi="宋体" w:cs="宋体"/>
          <w:b/>
          <w:sz w:val="24"/>
          <w:szCs w:val="24"/>
        </w:rPr>
        <w:t>（ 二）支出预算</w:t>
      </w:r>
      <w:r>
        <w:rPr>
          <w:rFonts w:hint="eastAsia" w:ascii="宋体" w:hAnsi="宋体" w:cs="宋体"/>
          <w:sz w:val="24"/>
          <w:szCs w:val="24"/>
        </w:rPr>
        <w:t>，</w:t>
      </w:r>
      <w:r>
        <w:rPr>
          <w:rFonts w:hint="eastAsia" w:ascii="宋体" w:hAnsi="宋体" w:cs="宋体"/>
          <w:color w:val="000000"/>
          <w:sz w:val="24"/>
          <w:szCs w:val="24"/>
        </w:rPr>
        <w:t>2021年年初预算数390.91万元，其中，一般公共服务390.91万元，支出较去年增加78.31万元，主要是工资福利支出增加和一般事物性项目支出。</w:t>
      </w:r>
    </w:p>
    <w:p>
      <w:pPr>
        <w:spacing w:line="360" w:lineRule="auto"/>
        <w:rPr>
          <w:rFonts w:ascii="宋体" w:hAnsi="宋体" w:cs="宋体"/>
          <w:b/>
          <w:sz w:val="24"/>
          <w:szCs w:val="24"/>
        </w:rPr>
      </w:pPr>
      <w:r>
        <w:rPr>
          <w:rFonts w:hint="eastAsia" w:ascii="宋体" w:hAnsi="宋体" w:cs="宋体"/>
          <w:b/>
          <w:sz w:val="24"/>
          <w:szCs w:val="24"/>
        </w:rPr>
        <w:t>五、一般公共预算拨款支出预算</w:t>
      </w:r>
    </w:p>
    <w:p>
      <w:pPr>
        <w:spacing w:line="360" w:lineRule="auto"/>
        <w:ind w:firstLine="360" w:firstLineChars="150"/>
        <w:rPr>
          <w:rFonts w:ascii="宋体" w:hAnsi="宋体" w:cs="宋体"/>
          <w:sz w:val="24"/>
          <w:szCs w:val="24"/>
        </w:rPr>
      </w:pPr>
      <w:r>
        <w:rPr>
          <w:rFonts w:hint="eastAsia" w:ascii="宋体" w:hAnsi="宋体" w:cs="宋体"/>
          <w:sz w:val="24"/>
          <w:szCs w:val="24"/>
        </w:rPr>
        <w:t>2021 年一般公共预算拨款</w:t>
      </w:r>
      <w:r>
        <w:rPr>
          <w:rFonts w:hint="eastAsia" w:ascii="宋体" w:hAnsi="宋体" w:cs="宋体"/>
          <w:b w:val="0"/>
          <w:sz w:val="24"/>
          <w:szCs w:val="24"/>
        </w:rPr>
        <w:t>支出预算</w:t>
      </w:r>
      <w:r>
        <w:rPr>
          <w:rStyle w:val="11"/>
        </w:rPr>
        <w:commentReference w:id="3"/>
      </w:r>
      <w:r>
        <w:rPr>
          <w:rFonts w:hint="eastAsia" w:ascii="宋体" w:hAnsi="宋体" w:cs="宋体"/>
          <w:color w:val="000000"/>
          <w:sz w:val="24"/>
          <w:szCs w:val="24"/>
        </w:rPr>
        <w:t>390.91</w:t>
      </w:r>
      <w:r>
        <w:rPr>
          <w:rFonts w:hint="eastAsia" w:ascii="宋体" w:hAnsi="宋体" w:cs="宋体"/>
          <w:sz w:val="24"/>
          <w:szCs w:val="24"/>
        </w:rPr>
        <w:t xml:space="preserve"> 万元，具体安排情况如下：</w:t>
      </w:r>
    </w:p>
    <w:p>
      <w:pPr>
        <w:spacing w:line="360" w:lineRule="auto"/>
        <w:ind w:firstLine="241" w:firstLineChars="100"/>
        <w:rPr>
          <w:rFonts w:ascii="宋体" w:hAnsi="宋体" w:cs="宋体"/>
          <w:sz w:val="24"/>
          <w:szCs w:val="24"/>
        </w:rPr>
      </w:pPr>
      <w:r>
        <w:rPr>
          <w:rFonts w:hint="eastAsia" w:ascii="宋体" w:hAnsi="宋体" w:cs="宋体"/>
          <w:b/>
          <w:sz w:val="24"/>
          <w:szCs w:val="24"/>
        </w:rPr>
        <w:t>（一）基本支出</w:t>
      </w:r>
      <w:r>
        <w:rPr>
          <w:rFonts w:hint="eastAsia" w:ascii="宋体" w:hAnsi="宋体" w:cs="宋体"/>
          <w:sz w:val="24"/>
          <w:szCs w:val="24"/>
        </w:rPr>
        <w:t>：2021 年年初预算数为</w:t>
      </w:r>
      <w:r>
        <w:rPr>
          <w:rFonts w:hint="eastAsia" w:ascii="宋体" w:hAnsi="宋体" w:cs="宋体"/>
          <w:color w:val="000000"/>
          <w:sz w:val="24"/>
          <w:szCs w:val="24"/>
        </w:rPr>
        <w:t>390.91</w:t>
      </w:r>
      <w:r>
        <w:rPr>
          <w:rFonts w:hint="eastAsia" w:ascii="宋体" w:hAnsi="宋体" w:cs="宋体"/>
          <w:sz w:val="24"/>
          <w:szCs w:val="24"/>
        </w:rPr>
        <w:t>万元，是指为保障单位机构正常运转、完成日常工作任务而发生的各项支出，包括用于基本工资、津贴补贴等人员经费以及办公费、印刷费、水电费、办公设备购置等日常公用经费</w:t>
      </w:r>
      <w:r>
        <w:rPr>
          <w:rFonts w:hint="eastAsia" w:ascii="宋体" w:hAnsi="宋体" w:cs="宋体"/>
          <w:sz w:val="24"/>
          <w:szCs w:val="24"/>
          <w:lang w:val="en-US" w:eastAsia="zh-CN"/>
        </w:rPr>
        <w:t>,</w:t>
      </w:r>
      <w:r>
        <w:rPr>
          <w:rFonts w:hint="eastAsia" w:ascii="宋体" w:hAnsi="宋体" w:cs="宋体"/>
          <w:color w:val="000000"/>
          <w:sz w:val="24"/>
          <w:szCs w:val="24"/>
        </w:rPr>
        <w:t>较去年增加78.31万元，主要是工资福利支出增加和一般事物性项目支出</w:t>
      </w:r>
      <w:r>
        <w:rPr>
          <w:rFonts w:hint="eastAsia" w:ascii="宋体" w:hAnsi="宋体" w:cs="宋体"/>
          <w:color w:val="000000"/>
          <w:sz w:val="24"/>
          <w:szCs w:val="24"/>
          <w:lang w:eastAsia="zh-CN"/>
        </w:rPr>
        <w:t>增加</w:t>
      </w:r>
      <w:commentRangeStart w:id="4"/>
      <w:r>
        <w:rPr>
          <w:rFonts w:hint="eastAsia" w:ascii="宋体" w:hAnsi="宋体" w:cs="宋体"/>
          <w:sz w:val="24"/>
          <w:szCs w:val="24"/>
        </w:rPr>
        <w:t>。</w:t>
      </w:r>
      <w:commentRangeEnd w:id="4"/>
      <w:r>
        <w:rPr>
          <w:rStyle w:val="11"/>
        </w:rPr>
        <w:commentReference w:id="4"/>
      </w:r>
    </w:p>
    <w:p>
      <w:pPr>
        <w:spacing w:line="360" w:lineRule="auto"/>
        <w:ind w:firstLine="241" w:firstLineChars="100"/>
        <w:rPr>
          <w:rFonts w:ascii="宋体" w:hAnsi="宋体" w:cs="宋体"/>
          <w:sz w:val="24"/>
          <w:szCs w:val="24"/>
        </w:rPr>
      </w:pPr>
      <w:r>
        <w:rPr>
          <w:rFonts w:hint="eastAsia" w:ascii="宋体" w:hAnsi="宋体" w:cs="宋体"/>
          <w:b/>
          <w:bCs/>
          <w:sz w:val="24"/>
          <w:szCs w:val="24"/>
        </w:rPr>
        <w:t>（二）项目支出：</w:t>
      </w:r>
      <w:r>
        <w:rPr>
          <w:rFonts w:hint="eastAsia" w:ascii="宋体" w:hAnsi="宋体" w:cs="宋体"/>
          <w:sz w:val="24"/>
          <w:szCs w:val="24"/>
        </w:rPr>
        <w:t>无</w:t>
      </w:r>
    </w:p>
    <w:p>
      <w:pPr>
        <w:spacing w:line="360" w:lineRule="auto"/>
        <w:rPr>
          <w:rFonts w:ascii="宋体" w:hAnsi="宋体" w:cs="宋体"/>
          <w:b/>
          <w:sz w:val="24"/>
          <w:szCs w:val="24"/>
        </w:rPr>
      </w:pPr>
      <w:r>
        <w:rPr>
          <w:rFonts w:hint="eastAsia" w:ascii="宋体" w:hAnsi="宋体" w:cs="宋体"/>
          <w:b/>
          <w:sz w:val="24"/>
          <w:szCs w:val="24"/>
        </w:rPr>
        <w:t>六、其他重要事项的情况说明</w:t>
      </w:r>
    </w:p>
    <w:p>
      <w:pPr>
        <w:spacing w:line="360" w:lineRule="auto"/>
        <w:ind w:firstLine="241" w:firstLineChars="100"/>
        <w:rPr>
          <w:rFonts w:ascii="宋体" w:hAnsi="宋体" w:cs="宋体"/>
          <w:b/>
          <w:sz w:val="24"/>
          <w:szCs w:val="24"/>
        </w:rPr>
      </w:pPr>
      <w:r>
        <w:rPr>
          <w:rFonts w:hint="eastAsia" w:ascii="宋体" w:hAnsi="宋体" w:cs="宋体"/>
          <w:b/>
          <w:sz w:val="24"/>
          <w:szCs w:val="24"/>
        </w:rPr>
        <w:t>（一）机关运行经费</w:t>
      </w:r>
    </w:p>
    <w:p>
      <w:pPr>
        <w:spacing w:line="360" w:lineRule="auto"/>
        <w:ind w:firstLine="360" w:firstLineChars="150"/>
        <w:rPr>
          <w:rFonts w:ascii="宋体" w:hAnsi="宋体" w:cs="宋体"/>
          <w:sz w:val="24"/>
          <w:szCs w:val="24"/>
        </w:rPr>
      </w:pPr>
      <w:r>
        <w:rPr>
          <w:rFonts w:hint="eastAsia" w:ascii="宋体" w:hAnsi="宋体" w:cs="宋体"/>
          <w:sz w:val="24"/>
          <w:szCs w:val="24"/>
        </w:rPr>
        <w:t>2021年本级机关运行经费当年一般公共预算拨款38.22万元，比2020年预算增加0.24万元，上升</w:t>
      </w:r>
      <w:commentRangeStart w:id="5"/>
      <w:r>
        <w:rPr>
          <w:rFonts w:hint="eastAsia" w:ascii="宋体" w:hAnsi="宋体" w:cs="宋体"/>
          <w:sz w:val="24"/>
          <w:szCs w:val="24"/>
        </w:rPr>
        <w:t>0.6</w:t>
      </w:r>
      <w:r>
        <w:rPr>
          <w:rFonts w:hint="eastAsia" w:ascii="宋体" w:hAnsi="宋体" w:cs="宋体"/>
          <w:sz w:val="24"/>
          <w:szCs w:val="24"/>
          <w:lang w:val="en-US" w:eastAsia="zh-CN"/>
        </w:rPr>
        <w:t>3</w:t>
      </w:r>
      <w:r>
        <w:rPr>
          <w:rFonts w:hint="eastAsia" w:ascii="宋体" w:hAnsi="宋体" w:cs="宋体"/>
          <w:sz w:val="24"/>
          <w:szCs w:val="24"/>
        </w:rPr>
        <w:t>%</w:t>
      </w:r>
      <w:commentRangeEnd w:id="5"/>
      <w:r>
        <w:rPr>
          <w:rStyle w:val="11"/>
        </w:rPr>
        <w:commentReference w:id="5"/>
      </w:r>
      <w:r>
        <w:rPr>
          <w:rFonts w:hint="eastAsia" w:ascii="宋体" w:hAnsi="宋体" w:cs="宋体"/>
          <w:sz w:val="24"/>
          <w:szCs w:val="24"/>
        </w:rPr>
        <w:t>，主要是商品和服务支出上升。</w:t>
      </w:r>
    </w:p>
    <w:p>
      <w:pPr>
        <w:spacing w:line="360" w:lineRule="auto"/>
        <w:ind w:firstLine="241" w:firstLineChars="100"/>
        <w:rPr>
          <w:rFonts w:ascii="宋体" w:hAnsi="宋体" w:cs="宋体"/>
          <w:b/>
          <w:sz w:val="24"/>
          <w:szCs w:val="24"/>
        </w:rPr>
      </w:pPr>
      <w:r>
        <w:rPr>
          <w:rFonts w:hint="eastAsia" w:ascii="宋体" w:hAnsi="宋体" w:cs="宋体"/>
          <w:b/>
          <w:sz w:val="24"/>
          <w:szCs w:val="24"/>
        </w:rPr>
        <w:t>（二）“三公”经费预算</w:t>
      </w:r>
    </w:p>
    <w:p>
      <w:pPr>
        <w:spacing w:line="360" w:lineRule="auto"/>
        <w:ind w:firstLine="360" w:firstLineChars="150"/>
        <w:rPr>
          <w:rFonts w:ascii="宋体" w:hAnsi="宋体" w:cs="宋体"/>
          <w:sz w:val="24"/>
          <w:szCs w:val="24"/>
        </w:rPr>
      </w:pPr>
      <w:r>
        <w:rPr>
          <w:rFonts w:hint="eastAsia" w:ascii="宋体" w:hAnsi="宋体" w:cs="宋体"/>
          <w:sz w:val="24"/>
          <w:szCs w:val="24"/>
        </w:rPr>
        <w:t>2021年“三公”经费预算数为1万元，和2020年一样。其中，公务接待费1万元，和2020年一样，主要是厉行节约；公车运行维护0万元，主要是公车改革，取消了公务用车。</w:t>
      </w:r>
    </w:p>
    <w:p>
      <w:pPr>
        <w:spacing w:line="360" w:lineRule="auto"/>
        <w:ind w:firstLine="241" w:firstLineChars="100"/>
        <w:rPr>
          <w:rFonts w:ascii="宋体" w:hAnsi="宋体" w:cs="宋体"/>
          <w:b/>
          <w:sz w:val="24"/>
          <w:szCs w:val="24"/>
        </w:rPr>
      </w:pPr>
      <w:r>
        <w:rPr>
          <w:rFonts w:hint="eastAsia" w:ascii="宋体" w:hAnsi="宋体" w:cs="宋体"/>
          <w:b/>
          <w:sz w:val="24"/>
          <w:szCs w:val="24"/>
        </w:rPr>
        <w:t>（三）政府采购情况</w:t>
      </w:r>
    </w:p>
    <w:p>
      <w:pPr>
        <w:spacing w:line="360" w:lineRule="auto"/>
        <w:ind w:firstLine="480" w:firstLineChars="200"/>
        <w:rPr>
          <w:rFonts w:ascii="宋体" w:hAnsi="宋体" w:cs="宋体"/>
          <w:sz w:val="24"/>
          <w:szCs w:val="24"/>
        </w:rPr>
      </w:pPr>
      <w:r>
        <w:rPr>
          <w:rFonts w:hint="eastAsia" w:ascii="宋体" w:hAnsi="宋体" w:cs="宋体"/>
          <w:sz w:val="24"/>
          <w:szCs w:val="24"/>
        </w:rPr>
        <w:t>2021 年宁乡市总工会部门政府采购预算总额0万元。</w:t>
      </w:r>
    </w:p>
    <w:p>
      <w:pPr>
        <w:spacing w:line="360" w:lineRule="auto"/>
        <w:ind w:firstLine="361" w:firstLineChars="150"/>
        <w:rPr>
          <w:rFonts w:ascii="宋体" w:hAnsi="宋体" w:cs="宋体"/>
          <w:b/>
          <w:sz w:val="24"/>
          <w:szCs w:val="24"/>
        </w:rPr>
      </w:pPr>
      <w:r>
        <w:rPr>
          <w:rFonts w:hint="eastAsia" w:ascii="宋体" w:hAnsi="宋体" w:cs="宋体"/>
          <w:b/>
          <w:sz w:val="24"/>
          <w:szCs w:val="24"/>
        </w:rPr>
        <w:t>（四）预算绩效管理情况</w:t>
      </w:r>
    </w:p>
    <w:p>
      <w:pPr>
        <w:spacing w:line="360" w:lineRule="auto"/>
        <w:ind w:firstLine="480" w:firstLineChars="200"/>
        <w:rPr>
          <w:rFonts w:ascii="宋体" w:hAnsi="宋体" w:cs="宋体"/>
          <w:sz w:val="24"/>
          <w:szCs w:val="24"/>
        </w:rPr>
      </w:pPr>
      <w:r>
        <w:rPr>
          <w:rFonts w:hint="eastAsia" w:ascii="宋体" w:hAnsi="宋体" w:cs="宋体"/>
          <w:sz w:val="24"/>
          <w:szCs w:val="24"/>
        </w:rPr>
        <w:t>按照市本级预算绩效管理工作的总体要求，2021年总工会整体支出</w:t>
      </w:r>
      <w:r>
        <w:rPr>
          <w:rFonts w:hint="eastAsia" w:ascii="宋体" w:hAnsi="宋体" w:cs="宋体"/>
          <w:color w:val="000000"/>
          <w:sz w:val="24"/>
          <w:szCs w:val="24"/>
        </w:rPr>
        <w:t>390.91</w:t>
      </w:r>
      <w:r>
        <w:rPr>
          <w:rFonts w:hint="eastAsia" w:ascii="宋体" w:hAnsi="宋体" w:cs="宋体"/>
          <w:sz w:val="24"/>
          <w:szCs w:val="24"/>
        </w:rPr>
        <w:t>万元，全部实行整体支出绩效目标管理。</w:t>
      </w:r>
    </w:p>
    <w:p>
      <w:pPr>
        <w:spacing w:line="360" w:lineRule="auto"/>
        <w:ind w:firstLine="482" w:firstLineChars="200"/>
        <w:rPr>
          <w:rFonts w:ascii="宋体" w:hAnsi="宋体" w:cs="宋体"/>
          <w:sz w:val="24"/>
          <w:szCs w:val="24"/>
        </w:rPr>
      </w:pPr>
      <w:r>
        <w:rPr>
          <w:rFonts w:hint="eastAsia" w:ascii="宋体" w:hAnsi="宋体" w:cs="宋体"/>
          <w:b/>
          <w:bCs/>
          <w:sz w:val="24"/>
          <w:szCs w:val="24"/>
        </w:rPr>
        <w:t>（五）国有资产占用情况</w:t>
      </w:r>
    </w:p>
    <w:p>
      <w:pPr>
        <w:spacing w:line="360" w:lineRule="auto"/>
        <w:ind w:firstLine="480" w:firstLineChars="200"/>
        <w:rPr>
          <w:rFonts w:ascii="宋体" w:hAnsi="宋体" w:cs="宋体"/>
          <w:sz w:val="24"/>
          <w:szCs w:val="24"/>
        </w:rPr>
      </w:pPr>
      <w:r>
        <w:rPr>
          <w:rFonts w:hint="eastAsia" w:ascii="宋体" w:hAnsi="宋体" w:cs="宋体"/>
          <w:sz w:val="24"/>
          <w:szCs w:val="24"/>
        </w:rPr>
        <w:t>截至2020年12月31日,本部门共有车辆0辆;单位价值50万元以上通用设备0台（套），单价100万元以上专用设备0台（套）。</w:t>
      </w:r>
    </w:p>
    <w:p>
      <w:pPr>
        <w:numPr>
          <w:ilvl w:val="0"/>
          <w:numId w:val="2"/>
        </w:numPr>
        <w:spacing w:line="360" w:lineRule="auto"/>
        <w:ind w:firstLine="482" w:firstLineChars="200"/>
        <w:rPr>
          <w:rFonts w:ascii="宋体" w:hAnsi="宋体" w:cs="宋体"/>
          <w:b/>
          <w:bCs/>
          <w:sz w:val="24"/>
          <w:szCs w:val="24"/>
        </w:rPr>
      </w:pPr>
      <w:r>
        <w:rPr>
          <w:rFonts w:hint="eastAsia" w:ascii="宋体" w:hAnsi="宋体" w:cs="宋体"/>
          <w:b/>
          <w:bCs/>
          <w:sz w:val="24"/>
          <w:szCs w:val="24"/>
        </w:rPr>
        <w:t>基金说明项</w:t>
      </w:r>
    </w:p>
    <w:p>
      <w:pPr>
        <w:numPr>
          <w:ilvl w:val="255"/>
          <w:numId w:val="0"/>
        </w:numPr>
        <w:spacing w:line="360" w:lineRule="auto"/>
        <w:rPr>
          <w:rFonts w:ascii="宋体" w:hAnsi="宋体" w:cs="宋体"/>
          <w:b/>
          <w:bCs/>
          <w:sz w:val="24"/>
          <w:szCs w:val="24"/>
        </w:rPr>
      </w:pPr>
      <w:r>
        <w:rPr>
          <w:rFonts w:hint="eastAsia" w:ascii="宋体" w:hAnsi="宋体" w:cs="宋体"/>
          <w:b/>
          <w:bCs/>
          <w:sz w:val="24"/>
          <w:szCs w:val="24"/>
        </w:rPr>
        <w:t xml:space="preserve">    本年度无政府性基金支出安排。</w:t>
      </w:r>
    </w:p>
    <w:p>
      <w:pPr>
        <w:spacing w:line="360" w:lineRule="auto"/>
        <w:rPr>
          <w:rFonts w:ascii="宋体" w:hAnsi="宋体" w:cs="宋体"/>
          <w:b/>
          <w:sz w:val="24"/>
          <w:szCs w:val="24"/>
        </w:rPr>
      </w:pPr>
      <w:r>
        <w:rPr>
          <w:rFonts w:hint="eastAsia" w:ascii="宋体" w:hAnsi="宋体" w:cs="宋体"/>
          <w:b/>
          <w:sz w:val="24"/>
          <w:szCs w:val="24"/>
        </w:rPr>
        <w:t>七、名词解释</w:t>
      </w:r>
    </w:p>
    <w:p>
      <w:pPr>
        <w:spacing w:line="360" w:lineRule="auto"/>
        <w:ind w:firstLine="361" w:firstLineChars="150"/>
        <w:rPr>
          <w:rFonts w:ascii="宋体" w:hAnsi="宋体" w:cs="宋体"/>
          <w:sz w:val="24"/>
          <w:szCs w:val="24"/>
        </w:rPr>
      </w:pPr>
      <w:r>
        <w:rPr>
          <w:rFonts w:hint="eastAsia" w:ascii="宋体" w:hAnsi="宋体" w:cs="宋体"/>
          <w:b/>
          <w:sz w:val="24"/>
          <w:szCs w:val="24"/>
        </w:rPr>
        <w:t>（一）机关运行经费</w:t>
      </w:r>
      <w:r>
        <w:rPr>
          <w:rFonts w:hint="eastAsia" w:ascii="宋体" w:hAnsi="宋体" w:cs="宋体"/>
          <w:sz w:val="24"/>
          <w:szCs w:val="24"/>
        </w:rPr>
        <w:t>：是指各部门的公用经费，包括办公及印刷费、邮电费、差旅费、会议费、福利费、日常维修费、专用资料及一般设备购置费、办公用房水电费、办公用房取暖费、办公用房物业管理费、公务用车运行维护费以及其他费用。</w:t>
      </w:r>
    </w:p>
    <w:p>
      <w:pPr>
        <w:spacing w:line="360" w:lineRule="auto"/>
        <w:ind w:firstLine="482" w:firstLineChars="200"/>
        <w:rPr>
          <w:rFonts w:ascii="宋体" w:hAnsi="宋体" w:cs="宋体"/>
          <w:sz w:val="24"/>
          <w:szCs w:val="24"/>
        </w:rPr>
      </w:pPr>
      <w:r>
        <w:rPr>
          <w:rFonts w:hint="eastAsia" w:ascii="宋体" w:hAnsi="宋体" w:cs="宋体"/>
          <w:b/>
          <w:sz w:val="24"/>
          <w:szCs w:val="24"/>
        </w:rPr>
        <w:t>（二）“三公”经费</w:t>
      </w:r>
      <w:r>
        <w:rPr>
          <w:rFonts w:hint="eastAsia" w:ascii="宋体" w:hAnsi="宋体" w:cs="宋体"/>
          <w:sz w:val="24"/>
          <w:szCs w:val="24"/>
        </w:rPr>
        <w:t>：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spacing w:line="360" w:lineRule="auto"/>
        <w:ind w:firstLine="480" w:firstLineChars="200"/>
        <w:rPr>
          <w:rFonts w:ascii="宋体" w:hAnsi="宋体" w:cs="宋体"/>
          <w:sz w:val="24"/>
          <w:szCs w:val="24"/>
        </w:rPr>
      </w:pPr>
    </w:p>
    <w:p>
      <w:pPr>
        <w:spacing w:line="360" w:lineRule="auto"/>
        <w:ind w:firstLine="480" w:firstLineChars="200"/>
        <w:rPr>
          <w:rFonts w:ascii="宋体" w:hAnsi="宋体" w:cs="宋体"/>
          <w:sz w:val="24"/>
          <w:szCs w:val="24"/>
        </w:rPr>
      </w:pPr>
    </w:p>
    <w:p>
      <w:pPr>
        <w:spacing w:line="360" w:lineRule="auto"/>
        <w:jc w:val="center"/>
        <w:rPr>
          <w:rFonts w:ascii="宋体" w:hAnsi="宋体" w:cs="宋体"/>
          <w:b/>
          <w:sz w:val="24"/>
          <w:szCs w:val="24"/>
        </w:rPr>
      </w:pPr>
      <w:r>
        <w:rPr>
          <w:rFonts w:hint="eastAsia" w:ascii="宋体" w:hAnsi="宋体" w:cs="宋体"/>
          <w:b/>
          <w:sz w:val="24"/>
          <w:szCs w:val="24"/>
        </w:rPr>
        <w:t>部门预算需公开的表格情况</w:t>
      </w:r>
    </w:p>
    <w:p>
      <w:pPr>
        <w:spacing w:line="360" w:lineRule="auto"/>
        <w:rPr>
          <w:rFonts w:ascii="宋体" w:hAnsi="宋体" w:cs="宋体"/>
          <w:sz w:val="24"/>
          <w:szCs w:val="24"/>
        </w:rPr>
      </w:pPr>
      <w:r>
        <w:rPr>
          <w:rFonts w:hint="eastAsia" w:ascii="宋体" w:hAnsi="宋体" w:cs="宋体"/>
          <w:sz w:val="24"/>
          <w:szCs w:val="24"/>
        </w:rPr>
        <w:t>原则上至少公开11 张报表，包括：</w:t>
      </w:r>
    </w:p>
    <w:p>
      <w:pPr>
        <w:spacing w:line="360" w:lineRule="auto"/>
        <w:rPr>
          <w:rFonts w:ascii="宋体" w:hAnsi="宋体" w:cs="宋体"/>
          <w:sz w:val="24"/>
          <w:szCs w:val="24"/>
        </w:rPr>
      </w:pPr>
      <w:r>
        <w:rPr>
          <w:rFonts w:hint="eastAsia" w:ascii="宋体" w:hAnsi="宋体" w:cs="宋体"/>
          <w:sz w:val="24"/>
          <w:szCs w:val="24"/>
        </w:rPr>
        <w:t>1.部门收支总体情况表</w:t>
      </w:r>
    </w:p>
    <w:p>
      <w:pPr>
        <w:spacing w:line="360" w:lineRule="auto"/>
        <w:rPr>
          <w:rFonts w:ascii="宋体" w:hAnsi="宋体" w:cs="宋体"/>
          <w:sz w:val="24"/>
          <w:szCs w:val="24"/>
        </w:rPr>
      </w:pPr>
      <w:r>
        <w:rPr>
          <w:rFonts w:hint="eastAsia" w:ascii="宋体" w:hAnsi="宋体" w:cs="宋体"/>
          <w:sz w:val="24"/>
          <w:szCs w:val="24"/>
        </w:rPr>
        <w:t>2.部门收入总体情况表</w:t>
      </w:r>
    </w:p>
    <w:p>
      <w:pPr>
        <w:spacing w:line="360" w:lineRule="auto"/>
        <w:rPr>
          <w:rFonts w:ascii="宋体" w:hAnsi="宋体" w:cs="宋体"/>
          <w:sz w:val="24"/>
          <w:szCs w:val="24"/>
        </w:rPr>
      </w:pPr>
      <w:r>
        <w:rPr>
          <w:rFonts w:hint="eastAsia" w:ascii="宋体" w:hAnsi="宋体" w:cs="宋体"/>
          <w:sz w:val="24"/>
          <w:szCs w:val="24"/>
        </w:rPr>
        <w:t>3.部门支出总体情况表</w:t>
      </w:r>
    </w:p>
    <w:p>
      <w:pPr>
        <w:spacing w:line="360" w:lineRule="auto"/>
        <w:rPr>
          <w:rFonts w:ascii="宋体" w:hAnsi="宋体" w:cs="宋体"/>
          <w:sz w:val="24"/>
          <w:szCs w:val="24"/>
        </w:rPr>
      </w:pPr>
      <w:r>
        <w:rPr>
          <w:rFonts w:hint="eastAsia" w:ascii="宋体" w:hAnsi="宋体" w:cs="宋体"/>
          <w:sz w:val="24"/>
          <w:szCs w:val="24"/>
        </w:rPr>
        <w:t>4.财政拨款收支总体情况表</w:t>
      </w:r>
    </w:p>
    <w:p>
      <w:pPr>
        <w:spacing w:line="360" w:lineRule="auto"/>
        <w:rPr>
          <w:rFonts w:ascii="宋体" w:hAnsi="宋体" w:cs="宋体"/>
          <w:sz w:val="24"/>
          <w:szCs w:val="24"/>
        </w:rPr>
      </w:pPr>
      <w:r>
        <w:rPr>
          <w:rFonts w:hint="eastAsia" w:ascii="宋体" w:hAnsi="宋体" w:cs="宋体"/>
          <w:sz w:val="24"/>
          <w:szCs w:val="24"/>
        </w:rPr>
        <w:t>5.一般公共预算支出情况表（公开到功能分类项级科目）</w:t>
      </w:r>
    </w:p>
    <w:p>
      <w:pPr>
        <w:spacing w:line="360" w:lineRule="auto"/>
        <w:rPr>
          <w:rFonts w:ascii="宋体" w:hAnsi="宋体" w:cs="宋体"/>
          <w:sz w:val="24"/>
          <w:szCs w:val="24"/>
        </w:rPr>
      </w:pPr>
      <w:r>
        <w:rPr>
          <w:rFonts w:hint="eastAsia" w:ascii="宋体" w:hAnsi="宋体" w:cs="宋体"/>
          <w:sz w:val="24"/>
          <w:szCs w:val="24"/>
        </w:rPr>
        <w:t>6.一般公共预算基本支出情况表（公开到经济性质分类款级科目）</w:t>
      </w:r>
    </w:p>
    <w:p>
      <w:pPr>
        <w:spacing w:line="360" w:lineRule="auto"/>
        <w:rPr>
          <w:rFonts w:ascii="宋体" w:hAnsi="宋体" w:cs="宋体"/>
          <w:sz w:val="24"/>
          <w:szCs w:val="24"/>
        </w:rPr>
      </w:pPr>
      <w:r>
        <w:rPr>
          <w:rFonts w:hint="eastAsia" w:ascii="宋体" w:hAnsi="宋体" w:cs="宋体"/>
          <w:sz w:val="24"/>
          <w:szCs w:val="24"/>
        </w:rPr>
        <w:t>7.一般公共预算“三公”经费支出情况表（细化到“公务用车购置费”和“公务用车运行费”公开）</w:t>
      </w:r>
    </w:p>
    <w:p>
      <w:pPr>
        <w:spacing w:line="360" w:lineRule="auto"/>
        <w:rPr>
          <w:rFonts w:ascii="宋体" w:hAnsi="宋体" w:cs="宋体"/>
          <w:sz w:val="24"/>
          <w:szCs w:val="24"/>
        </w:rPr>
      </w:pPr>
      <w:r>
        <w:rPr>
          <w:rFonts w:hint="eastAsia" w:ascii="宋体" w:hAnsi="宋体" w:cs="宋体"/>
          <w:sz w:val="24"/>
          <w:szCs w:val="24"/>
        </w:rPr>
        <w:t>8.政府性基金预算支出情况表</w:t>
      </w:r>
    </w:p>
    <w:p>
      <w:pPr>
        <w:spacing w:line="360" w:lineRule="auto"/>
        <w:rPr>
          <w:rFonts w:ascii="宋体" w:hAnsi="宋体" w:cs="宋体"/>
          <w:sz w:val="24"/>
          <w:szCs w:val="24"/>
        </w:rPr>
      </w:pPr>
      <w:r>
        <w:rPr>
          <w:rFonts w:hint="eastAsia" w:ascii="宋体" w:hAnsi="宋体" w:cs="宋体"/>
          <w:sz w:val="24"/>
          <w:szCs w:val="24"/>
        </w:rPr>
        <w:t>9.部门整体支出绩效目标申报表</w:t>
      </w:r>
    </w:p>
    <w:p>
      <w:pPr>
        <w:spacing w:line="360" w:lineRule="auto"/>
        <w:rPr>
          <w:rFonts w:ascii="宋体" w:hAnsi="宋体" w:cs="宋体"/>
          <w:sz w:val="24"/>
          <w:szCs w:val="24"/>
        </w:rPr>
      </w:pPr>
      <w:r>
        <w:rPr>
          <w:rFonts w:hint="eastAsia" w:ascii="宋体" w:hAnsi="宋体" w:cs="宋体"/>
          <w:sz w:val="24"/>
          <w:szCs w:val="24"/>
        </w:rPr>
        <w:t>10.项目绩效目标表</w:t>
      </w:r>
    </w:p>
    <w:p>
      <w:pPr>
        <w:spacing w:line="360" w:lineRule="auto"/>
        <w:rPr>
          <w:rFonts w:ascii="宋体" w:hAnsi="宋体" w:cs="宋体"/>
          <w:sz w:val="24"/>
          <w:szCs w:val="24"/>
        </w:rPr>
      </w:pPr>
      <w:r>
        <w:rPr>
          <w:rFonts w:hint="eastAsia" w:ascii="宋体" w:hAnsi="宋体" w:cs="宋体"/>
          <w:sz w:val="24"/>
          <w:szCs w:val="24"/>
        </w:rPr>
        <w:t>11.项目支出绩效目标表</w:t>
      </w:r>
    </w:p>
    <w:p>
      <w:pPr>
        <w:spacing w:line="360" w:lineRule="auto"/>
        <w:rPr>
          <w:rFonts w:ascii="宋体" w:hAnsi="宋体" w:cs="宋体"/>
          <w:sz w:val="24"/>
          <w:szCs w:val="24"/>
        </w:rPr>
      </w:pPr>
    </w:p>
    <w:p>
      <w:pPr>
        <w:spacing w:line="360" w:lineRule="auto"/>
        <w:rPr>
          <w:rFonts w:ascii="宋体" w:hAnsi="宋体" w:cs="宋体"/>
          <w:sz w:val="24"/>
          <w:szCs w:val="24"/>
        </w:rPr>
      </w:pPr>
      <w:r>
        <w:rPr>
          <w:rFonts w:hint="eastAsia" w:ascii="宋体" w:hAnsi="宋体" w:cs="宋体"/>
          <w:sz w:val="24"/>
          <w:szCs w:val="24"/>
        </w:rPr>
        <w:t>备注：上述表格中，没有数据的表格应当列出空表并说明。</w:t>
      </w:r>
    </w:p>
    <w:p>
      <w:pPr>
        <w:spacing w:line="360" w:lineRule="auto"/>
      </w:pPr>
      <w:r>
        <w:rPr>
          <w:rFonts w:hint="eastAsia" w:ascii="宋体" w:hAnsi="宋体" w:cs="宋体"/>
          <w:sz w:val="24"/>
          <w:szCs w:val="24"/>
        </w:rPr>
        <w:t>2021 年部门预算编制软件中已经设置了相关基础表格，各部门可自行从软件中检索导出分析相关数据并按要求填报后对外公开。</w:t>
      </w:r>
    </w:p>
    <w:p/>
    <w:sectPr>
      <w:headerReference r:id="rId5" w:type="default"/>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Lenovo" w:date="2022-05-30T09:24:00Z" w:initials="L">
    <w:p w14:paraId="3F214B16">
      <w:pPr>
        <w:pStyle w:val="2"/>
      </w:pPr>
      <w:r>
        <w:rPr>
          <w:rFonts w:hint="eastAsia"/>
        </w:rPr>
        <w:t>建议按照模板编制目录，删除二级标题；与下文保持一致</w:t>
      </w:r>
    </w:p>
  </w:comment>
  <w:comment w:id="2" w:author="Lenovo" w:date="2022-05-30T09:13:00Z" w:initials="L">
    <w:p w14:paraId="56A7786E">
      <w:pPr>
        <w:pStyle w:val="2"/>
        <w:rPr>
          <w:rFonts w:hint="eastAsia"/>
        </w:rPr>
      </w:pPr>
      <w:r>
        <w:rPr>
          <w:rFonts w:hint="eastAsia"/>
        </w:rPr>
        <w:t>删除转折符号，与上下文对齐</w:t>
      </w:r>
    </w:p>
  </w:comment>
  <w:comment w:id="1" w:author="Lenovo" w:date="2022-05-30T09:14:00Z" w:initials="L">
    <w:p w14:paraId="5E607E4C">
      <w:pPr>
        <w:pStyle w:val="2"/>
        <w:rPr>
          <w:rFonts w:hint="eastAsia"/>
        </w:rPr>
      </w:pPr>
      <w:r>
        <w:rPr>
          <w:rFonts w:hint="eastAsia"/>
        </w:rPr>
        <w:t>建议按照模板，与下文收入、支出预算中的类型保持一致；</w:t>
      </w:r>
    </w:p>
  </w:comment>
  <w:comment w:id="3" w:author="Lenovo" w:date="2022-05-30T09:19:00Z" w:initials="L">
    <w:p w14:paraId="468D1F4A">
      <w:pPr>
        <w:pStyle w:val="2"/>
        <w:rPr>
          <w:rFonts w:hint="eastAsia"/>
        </w:rPr>
      </w:pPr>
      <w:r>
        <w:rPr>
          <w:rFonts w:hint="eastAsia"/>
        </w:rPr>
        <w:t>应修改为“支出预算”</w:t>
      </w:r>
    </w:p>
  </w:comment>
  <w:comment w:id="4" w:author="Lenovo" w:date="2022-05-30T09:19:00Z" w:initials="L">
    <w:p w14:paraId="6AC02A6E">
      <w:pPr>
        <w:pStyle w:val="2"/>
        <w:rPr>
          <w:rFonts w:hint="eastAsia"/>
        </w:rPr>
      </w:pPr>
      <w:r>
        <w:rPr>
          <w:rFonts w:hint="eastAsia"/>
        </w:rPr>
        <w:t>补充与上年预算比较的增减变化金额及原因。</w:t>
      </w:r>
    </w:p>
  </w:comment>
  <w:comment w:id="5" w:author="Lenovo" w:date="2022-05-30T09:21:00Z" w:initials="L">
    <w:p w14:paraId="56723B1E">
      <w:pPr>
        <w:pStyle w:val="2"/>
      </w:pPr>
      <w:r>
        <w:rPr>
          <w:rFonts w:hint="eastAsia"/>
        </w:rPr>
        <w:t>0</w:t>
      </w:r>
      <w:r>
        <w:t>.63</w:t>
      </w:r>
      <w:r>
        <w:rPr>
          <w:rFonts w:hint="eastAsia"/>
        </w:rPr>
        <w: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F214B16" w15:done="1"/>
  <w15:commentEx w15:paraId="56A7786E" w15:done="1"/>
  <w15:commentEx w15:paraId="5E607E4C" w15:done="1"/>
  <w15:commentEx w15:paraId="468D1F4A" w15:done="1"/>
  <w15:commentEx w15:paraId="6AC02A6E" w15:done="1"/>
  <w15:commentEx w15:paraId="56723B1E" w15:done="1"/>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5892C1"/>
    <w:multiLevelType w:val="singleLevel"/>
    <w:tmpl w:val="1F5892C1"/>
    <w:lvl w:ilvl="0" w:tentative="0">
      <w:start w:val="1"/>
      <w:numFmt w:val="chineseCounting"/>
      <w:suff w:val="nothing"/>
      <w:lvlText w:val="%1、"/>
      <w:lvlJc w:val="left"/>
      <w:rPr>
        <w:rFonts w:hint="eastAsia"/>
      </w:rPr>
    </w:lvl>
  </w:abstractNum>
  <w:abstractNum w:abstractNumId="1">
    <w:nsid w:val="5A3C549D"/>
    <w:multiLevelType w:val="singleLevel"/>
    <w:tmpl w:val="5A3C549D"/>
    <w:lvl w:ilvl="0" w:tentative="0">
      <w:start w:val="6"/>
      <w:numFmt w:val="chineseCounting"/>
      <w:suff w:val="nothing"/>
      <w:lvlText w:val="(%1）"/>
      <w:lvlJc w:val="left"/>
      <w:rPr>
        <w:rFonts w:hint="eastAsia"/>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xZjQxNzU1NWZkNmNiNDU1YTdmZThjMWY1N2NhOWYifQ=="/>
  </w:docVars>
  <w:rsids>
    <w:rsidRoot w:val="00525DBC"/>
    <w:rsid w:val="00047290"/>
    <w:rsid w:val="0006045B"/>
    <w:rsid w:val="0008174C"/>
    <w:rsid w:val="000C53CB"/>
    <w:rsid w:val="00141F45"/>
    <w:rsid w:val="00152D65"/>
    <w:rsid w:val="00152E46"/>
    <w:rsid w:val="001B7C1F"/>
    <w:rsid w:val="001C3144"/>
    <w:rsid w:val="001D17CC"/>
    <w:rsid w:val="00206933"/>
    <w:rsid w:val="002809C1"/>
    <w:rsid w:val="002A609A"/>
    <w:rsid w:val="002A7A98"/>
    <w:rsid w:val="00360FD5"/>
    <w:rsid w:val="003800B8"/>
    <w:rsid w:val="003B2518"/>
    <w:rsid w:val="003B34B4"/>
    <w:rsid w:val="00423D84"/>
    <w:rsid w:val="00457EC7"/>
    <w:rsid w:val="004D3423"/>
    <w:rsid w:val="00525DBC"/>
    <w:rsid w:val="005464D4"/>
    <w:rsid w:val="00586B27"/>
    <w:rsid w:val="005F0B69"/>
    <w:rsid w:val="0066253A"/>
    <w:rsid w:val="00691D0E"/>
    <w:rsid w:val="0069502F"/>
    <w:rsid w:val="006B32FE"/>
    <w:rsid w:val="006B65E1"/>
    <w:rsid w:val="006F6844"/>
    <w:rsid w:val="00702A64"/>
    <w:rsid w:val="00730846"/>
    <w:rsid w:val="007C678C"/>
    <w:rsid w:val="007D435E"/>
    <w:rsid w:val="00802233"/>
    <w:rsid w:val="008061C2"/>
    <w:rsid w:val="0082263B"/>
    <w:rsid w:val="00936678"/>
    <w:rsid w:val="009C44CB"/>
    <w:rsid w:val="009D4AB5"/>
    <w:rsid w:val="00A44730"/>
    <w:rsid w:val="00AD15A0"/>
    <w:rsid w:val="00AF2CAC"/>
    <w:rsid w:val="00B820DE"/>
    <w:rsid w:val="00B95391"/>
    <w:rsid w:val="00C076AD"/>
    <w:rsid w:val="00C16EAC"/>
    <w:rsid w:val="00C26AE2"/>
    <w:rsid w:val="00C90996"/>
    <w:rsid w:val="00CC128B"/>
    <w:rsid w:val="00CF6AC6"/>
    <w:rsid w:val="00D522AB"/>
    <w:rsid w:val="00D5257F"/>
    <w:rsid w:val="00DB0046"/>
    <w:rsid w:val="00DE505B"/>
    <w:rsid w:val="00E41A42"/>
    <w:rsid w:val="00F7324F"/>
    <w:rsid w:val="11644BA6"/>
    <w:rsid w:val="306638EE"/>
    <w:rsid w:val="31DC61F4"/>
    <w:rsid w:val="366C5B31"/>
    <w:rsid w:val="3AAB7A7C"/>
    <w:rsid w:val="56FD7A5E"/>
    <w:rsid w:val="6F4D07CC"/>
    <w:rsid w:val="75A315D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0"/>
    <w:pPr>
      <w:jc w:val="left"/>
    </w:pPr>
  </w:style>
  <w:style w:type="paragraph" w:styleId="3">
    <w:name w:val="Balloon Text"/>
    <w:basedOn w:val="1"/>
    <w:link w:val="12"/>
    <w:semiHidden/>
    <w:qFormat/>
    <w:uiPriority w:val="99"/>
    <w:rPr>
      <w:sz w:val="18"/>
      <w:szCs w:val="18"/>
    </w:rPr>
  </w:style>
  <w:style w:type="paragraph" w:styleId="4">
    <w:name w:val="footer"/>
    <w:basedOn w:val="1"/>
    <w:link w:val="14"/>
    <w:qFormat/>
    <w:uiPriority w:val="99"/>
    <w:pPr>
      <w:tabs>
        <w:tab w:val="center" w:pos="4153"/>
        <w:tab w:val="right" w:pos="8306"/>
      </w:tabs>
      <w:snapToGrid w:val="0"/>
      <w:jc w:val="left"/>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6"/>
    <w:semiHidden/>
    <w:unhideWhenUsed/>
    <w:uiPriority w:val="99"/>
    <w:rPr>
      <w:b/>
      <w:bCs/>
    </w:rPr>
  </w:style>
  <w:style w:type="character" w:styleId="10">
    <w:name w:val="Strong"/>
    <w:basedOn w:val="9"/>
    <w:qFormat/>
    <w:locked/>
    <w:uiPriority w:val="99"/>
    <w:rPr>
      <w:rFonts w:cs="Times New Roman"/>
      <w:b/>
      <w:bCs/>
    </w:rPr>
  </w:style>
  <w:style w:type="character" w:styleId="11">
    <w:name w:val="annotation reference"/>
    <w:basedOn w:val="9"/>
    <w:semiHidden/>
    <w:unhideWhenUsed/>
    <w:uiPriority w:val="99"/>
    <w:rPr>
      <w:sz w:val="21"/>
      <w:szCs w:val="21"/>
    </w:rPr>
  </w:style>
  <w:style w:type="character" w:customStyle="1" w:styleId="12">
    <w:name w:val="批注框文本 字符"/>
    <w:basedOn w:val="9"/>
    <w:link w:val="3"/>
    <w:semiHidden/>
    <w:qFormat/>
    <w:locked/>
    <w:uiPriority w:val="99"/>
    <w:rPr>
      <w:rFonts w:cs="Times New Roman"/>
      <w:sz w:val="18"/>
      <w:szCs w:val="18"/>
    </w:rPr>
  </w:style>
  <w:style w:type="character" w:customStyle="1" w:styleId="13">
    <w:name w:val="页眉 字符"/>
    <w:basedOn w:val="9"/>
    <w:link w:val="5"/>
    <w:semiHidden/>
    <w:qFormat/>
    <w:locked/>
    <w:uiPriority w:val="99"/>
    <w:rPr>
      <w:rFonts w:cs="Times New Roman"/>
      <w:sz w:val="18"/>
      <w:szCs w:val="18"/>
    </w:rPr>
  </w:style>
  <w:style w:type="character" w:customStyle="1" w:styleId="14">
    <w:name w:val="页脚 字符"/>
    <w:basedOn w:val="9"/>
    <w:link w:val="4"/>
    <w:semiHidden/>
    <w:qFormat/>
    <w:locked/>
    <w:uiPriority w:val="99"/>
    <w:rPr>
      <w:rFonts w:cs="Times New Roman"/>
      <w:sz w:val="18"/>
      <w:szCs w:val="18"/>
    </w:rPr>
  </w:style>
  <w:style w:type="character" w:customStyle="1" w:styleId="15">
    <w:name w:val="批注文字 字符"/>
    <w:basedOn w:val="9"/>
    <w:link w:val="2"/>
    <w:semiHidden/>
    <w:uiPriority w:val="0"/>
    <w:rPr>
      <w:rFonts w:ascii="Calibri" w:hAnsi="Calibri" w:eastAsia="宋体" w:cs="Times New Roman"/>
      <w:kern w:val="2"/>
      <w:sz w:val="21"/>
      <w:szCs w:val="22"/>
    </w:rPr>
  </w:style>
  <w:style w:type="character" w:customStyle="1" w:styleId="16">
    <w:name w:val="批注主题 字符"/>
    <w:basedOn w:val="15"/>
    <w:link w:val="7"/>
    <w:semiHidden/>
    <w:uiPriority w:val="99"/>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5B8AAF-21B8-4754-A30E-93A29E1022AC}">
  <ds:schemaRefs/>
</ds:datastoreItem>
</file>

<file path=docProps/app.xml><?xml version="1.0" encoding="utf-8"?>
<Properties xmlns="http://schemas.openxmlformats.org/officeDocument/2006/extended-properties" xmlns:vt="http://schemas.openxmlformats.org/officeDocument/2006/docPropsVTypes">
  <Template>Normal</Template>
  <Pages>4</Pages>
  <Words>2046</Words>
  <Characters>2186</Characters>
  <Lines>16</Lines>
  <Paragraphs>4</Paragraphs>
  <TotalTime>5</TotalTime>
  <ScaleCrop>false</ScaleCrop>
  <LinksUpToDate>false</LinksUpToDate>
  <CharactersWithSpaces>2203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2022-05-30T01:08:00Z</dcterms:created>
  <dc:creator>pgos</dc:creator>
  <cp:lastModifiedBy>呵呵</cp:lastModifiedBy>
  <cp:lastPrinted>2020-01-03T02:02:00Z</cp:lastPrinted>
  <dcterms:modified xsi:type="dcterms:W3CDTF">2022-06-10T02:52:21Z</dcterms:modified>
  <dc:title>关于进一步做好预决算公开工作的通知</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51420305AE234D4F9B09469C2408D25C</vt:lpwstr>
  </property>
</Properties>
</file>