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line="574"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宁乡市沙田乡人民政府</w:t>
      </w:r>
      <w:r>
        <w:rPr>
          <w:rFonts w:hint="eastAsia" w:ascii="方正小标宋简体" w:hAnsi="方正小标宋简体" w:eastAsia="方正小标宋简体" w:cs="方正小标宋简体"/>
          <w:sz w:val="44"/>
          <w:szCs w:val="44"/>
          <w:lang w:val="en-US" w:eastAsia="zh-CN"/>
        </w:rPr>
        <w:t>2022年</w:t>
      </w:r>
    </w:p>
    <w:p>
      <w:pPr>
        <w:widowControl w:val="0"/>
        <w:wordWrap/>
        <w:adjustRightInd/>
        <w:snapToGrid/>
        <w:spacing w:line="574"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部门整体支出绩效评价报告</w:t>
      </w:r>
    </w:p>
    <w:p>
      <w:pPr>
        <w:widowControl w:val="0"/>
        <w:wordWrap/>
        <w:adjustRightInd/>
        <w:snapToGrid/>
        <w:spacing w:line="574" w:lineRule="exact"/>
        <w:ind w:firstLine="640" w:firstLineChars="200"/>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caps w:val="0"/>
          <w:color w:val="333333"/>
          <w:spacing w:val="0"/>
          <w:sz w:val="32"/>
          <w:szCs w:val="32"/>
          <w:shd w:val="clear" w:color="070000" w:fill="FFFFFF"/>
        </w:rPr>
        <w:t>根据《</w:t>
      </w:r>
      <w:r>
        <w:rPr>
          <w:rFonts w:hint="eastAsia" w:ascii="仿宋_GB2312" w:hAnsi="仿宋_GB2312" w:eastAsia="仿宋_GB2312" w:cs="仿宋_GB2312"/>
          <w:i w:val="0"/>
          <w:caps w:val="0"/>
          <w:color w:val="333333"/>
          <w:spacing w:val="0"/>
          <w:sz w:val="32"/>
          <w:szCs w:val="32"/>
          <w:shd w:val="clear" w:color="070000" w:fill="FFFFFF"/>
          <w:lang w:eastAsia="zh-CN"/>
        </w:rPr>
        <w:t>宁乡市财政局关于做好</w:t>
      </w:r>
      <w:r>
        <w:rPr>
          <w:rFonts w:hint="eastAsia" w:ascii="仿宋_GB2312" w:hAnsi="仿宋_GB2312" w:eastAsia="仿宋_GB2312" w:cs="仿宋_GB2312"/>
          <w:i w:val="0"/>
          <w:caps w:val="0"/>
          <w:color w:val="333333"/>
          <w:spacing w:val="0"/>
          <w:sz w:val="32"/>
          <w:szCs w:val="32"/>
          <w:shd w:val="clear" w:color="070000" w:fill="FFFFFF"/>
          <w:lang w:val="en-US" w:eastAsia="zh-CN"/>
        </w:rPr>
        <w:t>2022年度部门决算批复及公开工作的通知</w:t>
      </w:r>
      <w:r>
        <w:rPr>
          <w:rFonts w:hint="eastAsia" w:ascii="仿宋_GB2312" w:hAnsi="仿宋_GB2312" w:eastAsia="仿宋_GB2312" w:cs="仿宋_GB2312"/>
          <w:i w:val="0"/>
          <w:caps w:val="0"/>
          <w:color w:val="333333"/>
          <w:spacing w:val="0"/>
          <w:sz w:val="32"/>
          <w:szCs w:val="32"/>
          <w:shd w:val="clear" w:color="070000" w:fill="FFFFFF"/>
        </w:rPr>
        <w:t>》，我</w:t>
      </w:r>
      <w:r>
        <w:rPr>
          <w:rFonts w:hint="eastAsia" w:ascii="仿宋_GB2312" w:hAnsi="仿宋_GB2312" w:eastAsia="仿宋_GB2312" w:cs="仿宋_GB2312"/>
          <w:i w:val="0"/>
          <w:caps w:val="0"/>
          <w:color w:val="333333"/>
          <w:spacing w:val="0"/>
          <w:sz w:val="32"/>
          <w:szCs w:val="32"/>
          <w:shd w:val="clear" w:color="070000" w:fill="FFFFFF"/>
          <w:lang w:eastAsia="zh-CN"/>
        </w:rPr>
        <w:t>单位</w:t>
      </w:r>
      <w:r>
        <w:rPr>
          <w:rFonts w:hint="eastAsia" w:ascii="仿宋_GB2312" w:hAnsi="仿宋_GB2312" w:eastAsia="仿宋_GB2312" w:cs="仿宋_GB2312"/>
          <w:i w:val="0"/>
          <w:caps w:val="0"/>
          <w:color w:val="333333"/>
          <w:spacing w:val="0"/>
          <w:sz w:val="32"/>
          <w:szCs w:val="32"/>
          <w:shd w:val="clear" w:color="070000" w:fill="FFFFFF"/>
        </w:rPr>
        <w:t>成立了</w:t>
      </w:r>
      <w:r>
        <w:rPr>
          <w:rFonts w:hint="eastAsia" w:ascii="仿宋_GB2312" w:hAnsi="仿宋_GB2312" w:eastAsia="仿宋_GB2312" w:cs="仿宋_GB2312"/>
          <w:i w:val="0"/>
          <w:caps w:val="0"/>
          <w:color w:val="333333"/>
          <w:spacing w:val="0"/>
          <w:sz w:val="32"/>
          <w:szCs w:val="32"/>
          <w:shd w:val="clear" w:color="070000" w:fill="FFFFFF"/>
          <w:lang w:eastAsia="zh-CN"/>
        </w:rPr>
        <w:t>乡长</w:t>
      </w:r>
      <w:r>
        <w:rPr>
          <w:rFonts w:hint="eastAsia" w:ascii="仿宋_GB2312" w:hAnsi="仿宋_GB2312" w:eastAsia="仿宋_GB2312" w:cs="仿宋_GB2312"/>
          <w:i w:val="0"/>
          <w:caps w:val="0"/>
          <w:color w:val="333333"/>
          <w:spacing w:val="0"/>
          <w:sz w:val="32"/>
          <w:szCs w:val="32"/>
          <w:shd w:val="clear" w:color="070000" w:fill="FFFFFF"/>
        </w:rPr>
        <w:t>任组长的绩效评价工作小组，对我</w:t>
      </w:r>
      <w:r>
        <w:rPr>
          <w:rFonts w:hint="eastAsia" w:ascii="仿宋_GB2312" w:hAnsi="仿宋_GB2312" w:eastAsia="仿宋_GB2312" w:cs="仿宋_GB2312"/>
          <w:i w:val="0"/>
          <w:caps w:val="0"/>
          <w:color w:val="333333"/>
          <w:spacing w:val="0"/>
          <w:sz w:val="32"/>
          <w:szCs w:val="32"/>
          <w:shd w:val="clear" w:color="070000" w:fill="FFFFFF"/>
          <w:lang w:eastAsia="zh-CN"/>
        </w:rPr>
        <w:t>乡</w:t>
      </w:r>
      <w:r>
        <w:rPr>
          <w:rFonts w:hint="eastAsia" w:ascii="仿宋_GB2312" w:hAnsi="仿宋_GB2312" w:eastAsia="仿宋_GB2312" w:cs="仿宋_GB2312"/>
          <w:i w:val="0"/>
          <w:caps w:val="0"/>
          <w:color w:val="333333"/>
          <w:spacing w:val="0"/>
          <w:sz w:val="32"/>
          <w:szCs w:val="32"/>
          <w:shd w:val="clear" w:color="070000" w:fill="FFFFFF"/>
        </w:rPr>
        <w:t>20</w:t>
      </w:r>
      <w:r>
        <w:rPr>
          <w:rFonts w:hint="eastAsia" w:ascii="仿宋_GB2312" w:hAnsi="仿宋_GB2312" w:eastAsia="仿宋_GB2312" w:cs="仿宋_GB2312"/>
          <w:i w:val="0"/>
          <w:caps w:val="0"/>
          <w:color w:val="333333"/>
          <w:spacing w:val="0"/>
          <w:sz w:val="32"/>
          <w:szCs w:val="32"/>
          <w:shd w:val="clear" w:color="070000" w:fill="FFFFFF"/>
          <w:lang w:val="en-US" w:eastAsia="zh-CN"/>
        </w:rPr>
        <w:t>22</w:t>
      </w:r>
      <w:r>
        <w:rPr>
          <w:rFonts w:hint="eastAsia" w:ascii="仿宋_GB2312" w:hAnsi="仿宋_GB2312" w:eastAsia="仿宋_GB2312" w:cs="仿宋_GB2312"/>
          <w:i w:val="0"/>
          <w:caps w:val="0"/>
          <w:color w:val="333333"/>
          <w:spacing w:val="0"/>
          <w:sz w:val="32"/>
          <w:szCs w:val="32"/>
          <w:shd w:val="clear" w:color="070000" w:fill="FFFFFF"/>
        </w:rPr>
        <w:t>年度部门预算整体支出绩效进行了全面综合评价。整体支出分基本支出和项目支出两部分，基本支出的评价重点是厉行节约保运转，降低行政运行成本；项目支出的评价重点是规范管理促发展，做到专款专用，提高资金使用效益。经全面综合评价，我</w:t>
      </w:r>
      <w:r>
        <w:rPr>
          <w:rFonts w:hint="eastAsia" w:ascii="仿宋_GB2312" w:hAnsi="仿宋_GB2312" w:eastAsia="仿宋_GB2312" w:cs="仿宋_GB2312"/>
          <w:i w:val="0"/>
          <w:caps w:val="0"/>
          <w:color w:val="333333"/>
          <w:spacing w:val="0"/>
          <w:sz w:val="32"/>
          <w:szCs w:val="32"/>
          <w:shd w:val="clear" w:color="070000" w:fill="FFFFFF"/>
          <w:lang w:eastAsia="zh-CN"/>
        </w:rPr>
        <w:t>乡</w:t>
      </w:r>
      <w:r>
        <w:rPr>
          <w:rFonts w:hint="eastAsia" w:ascii="仿宋_GB2312" w:hAnsi="仿宋_GB2312" w:eastAsia="仿宋_GB2312" w:cs="仿宋_GB2312"/>
          <w:i w:val="0"/>
          <w:caps w:val="0"/>
          <w:color w:val="333333"/>
          <w:spacing w:val="0"/>
          <w:sz w:val="32"/>
          <w:szCs w:val="32"/>
          <w:shd w:val="clear" w:color="070000" w:fill="FFFFFF"/>
          <w:lang w:val="en-US" w:eastAsia="zh-CN"/>
        </w:rPr>
        <w:t>2022</w:t>
      </w:r>
      <w:r>
        <w:rPr>
          <w:rFonts w:hint="eastAsia" w:ascii="仿宋_GB2312" w:hAnsi="仿宋_GB2312" w:eastAsia="仿宋_GB2312" w:cs="仿宋_GB2312"/>
          <w:i w:val="0"/>
          <w:caps w:val="0"/>
          <w:color w:val="333333"/>
          <w:spacing w:val="0"/>
          <w:sz w:val="32"/>
          <w:szCs w:val="32"/>
          <w:shd w:val="clear" w:color="070000" w:fill="FFFFFF"/>
        </w:rPr>
        <w:t>年度部门整体支出绩效自评分为9</w:t>
      </w:r>
      <w:r>
        <w:rPr>
          <w:rFonts w:hint="eastAsia" w:ascii="仿宋_GB2312" w:hAnsi="仿宋_GB2312" w:eastAsia="仿宋_GB2312" w:cs="仿宋_GB2312"/>
          <w:i w:val="0"/>
          <w:caps w:val="0"/>
          <w:color w:val="333333"/>
          <w:spacing w:val="0"/>
          <w:sz w:val="32"/>
          <w:szCs w:val="32"/>
          <w:shd w:val="clear" w:color="070000" w:fill="FFFFFF"/>
          <w:lang w:val="en-US" w:eastAsia="zh-CN"/>
        </w:rPr>
        <w:t>5</w:t>
      </w:r>
      <w:r>
        <w:rPr>
          <w:rFonts w:hint="eastAsia" w:ascii="仿宋_GB2312" w:hAnsi="仿宋_GB2312" w:eastAsia="仿宋_GB2312" w:cs="仿宋_GB2312"/>
          <w:i w:val="0"/>
          <w:caps w:val="0"/>
          <w:color w:val="333333"/>
          <w:spacing w:val="0"/>
          <w:sz w:val="32"/>
          <w:szCs w:val="32"/>
          <w:shd w:val="clear" w:color="070000" w:fill="FFFFFF"/>
        </w:rPr>
        <w:t>分。现将自评情况汇报如下：</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一、部门概况</w:t>
      </w:r>
    </w:p>
    <w:p>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（一）部门基本情况</w:t>
      </w:r>
    </w:p>
    <w:p>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1.人员设置</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2022年</w:t>
      </w:r>
      <w:r>
        <w:rPr>
          <w:rFonts w:hint="eastAsia" w:ascii="仿宋_GB2312" w:hAnsi="仿宋_GB2312" w:eastAsia="仿宋_GB2312" w:cs="仿宋_GB2312"/>
          <w:sz w:val="32"/>
          <w:szCs w:val="32"/>
          <w:lang w:val="zh-CN"/>
        </w:rPr>
        <w:t>沙田乡财政供养实有在职</w:t>
      </w:r>
      <w:r>
        <w:rPr>
          <w:rFonts w:hint="eastAsia" w:ascii="仿宋_GB2312" w:hAnsi="仿宋_GB2312" w:eastAsia="仿宋_GB2312" w:cs="仿宋_GB2312"/>
          <w:sz w:val="32"/>
          <w:szCs w:val="32"/>
          <w:lang w:val="en-US" w:eastAsia="zh-CN"/>
        </w:rPr>
        <w:t>97</w:t>
      </w:r>
      <w:r>
        <w:rPr>
          <w:rFonts w:hint="eastAsia" w:ascii="仿宋_GB2312" w:hAnsi="仿宋_GB2312" w:eastAsia="仿宋_GB2312" w:cs="仿宋_GB2312"/>
          <w:sz w:val="32"/>
          <w:szCs w:val="32"/>
          <w:lang w:val="zh-CN"/>
        </w:rPr>
        <w:t>人，其中：行政人员</w:t>
      </w:r>
      <w:r>
        <w:rPr>
          <w:rFonts w:hint="eastAsia" w:ascii="仿宋_GB2312" w:hAnsi="仿宋_GB2312" w:eastAsia="仿宋_GB2312" w:cs="仿宋_GB2312"/>
          <w:sz w:val="32"/>
          <w:szCs w:val="32"/>
          <w:lang w:val="en-US" w:eastAsia="zh-CN"/>
        </w:rPr>
        <w:t>37</w:t>
      </w:r>
      <w:r>
        <w:rPr>
          <w:rFonts w:hint="eastAsia" w:ascii="仿宋_GB2312" w:hAnsi="仿宋_GB2312" w:eastAsia="仿宋_GB2312" w:cs="仿宋_GB2312"/>
          <w:sz w:val="32"/>
          <w:szCs w:val="32"/>
          <w:lang w:val="zh-CN"/>
        </w:rPr>
        <w:t>人、全额事业人员</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lang w:val="zh-CN"/>
        </w:rPr>
        <w:t>人、差额事业人员</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lang w:val="zh-CN"/>
        </w:rPr>
        <w:t>人。</w:t>
      </w:r>
    </w:p>
    <w:p>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val="zh-CN"/>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lang w:val="zh-CN"/>
        </w:rPr>
        <w:t>机构设置</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zh-CN"/>
        </w:rPr>
        <w:t>年沙田乡共辖6个村、202个居民小组，乡总人口3.6万，现有村干部42人。乡政府工作机构分设机关、一所三中心及一队，即政府机关、司法所、社会事务综合服务中心、农业综合服务中心、政务服务中心、综合行政执法队，另</w:t>
      </w:r>
      <w:r>
        <w:rPr>
          <w:rFonts w:hint="eastAsia" w:ascii="仿宋_GB2312" w:hAnsi="仿宋_GB2312" w:eastAsia="仿宋_GB2312" w:cs="仿宋_GB2312"/>
          <w:sz w:val="32"/>
          <w:szCs w:val="32"/>
          <w:lang w:val="zh-CN" w:eastAsia="zh-CN"/>
        </w:rPr>
        <w:t>受委托管理市委宣传部所属事业单位</w:t>
      </w:r>
      <w:r>
        <w:rPr>
          <w:rFonts w:hint="eastAsia" w:ascii="仿宋_GB2312" w:hAnsi="仿宋_GB2312" w:eastAsia="仿宋_GB2312" w:cs="仿宋_GB2312"/>
          <w:sz w:val="32"/>
          <w:szCs w:val="32"/>
          <w:lang w:val="zh-CN"/>
        </w:rPr>
        <w:t>何叔衡故居管理处。</w:t>
      </w:r>
    </w:p>
    <w:p>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val="zh-CN"/>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lang w:val="zh-CN"/>
        </w:rPr>
        <w:t>职能职责</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eastAsia="zh-CN"/>
        </w:rPr>
        <w:t>沙田乡</w:t>
      </w:r>
      <w:r>
        <w:rPr>
          <w:rFonts w:hint="eastAsia" w:ascii="仿宋_GB2312" w:hAnsi="仿宋_GB2312" w:eastAsia="仿宋_GB2312" w:cs="仿宋_GB2312"/>
          <w:sz w:val="32"/>
          <w:szCs w:val="32"/>
          <w:lang w:val="zh-CN"/>
        </w:rPr>
        <w:t>人民政府是基层政府机关，工作职责是落实国家政策，严格依法行政，发挥经济管理职能，加强政策引导，制定发展规划，服务市场主体和营造发展</w:t>
      </w:r>
      <w:r>
        <w:rPr>
          <w:rFonts w:hint="eastAsia" w:ascii="仿宋_GB2312" w:hAnsi="仿宋_GB2312" w:eastAsia="仿宋_GB2312" w:cs="仿宋_GB2312"/>
          <w:sz w:val="32"/>
          <w:szCs w:val="32"/>
          <w:lang w:val="zh-CN" w:eastAsia="zh-CN"/>
        </w:rPr>
        <w:t>环境</w:t>
      </w:r>
      <w:r>
        <w:rPr>
          <w:rFonts w:hint="eastAsia" w:ascii="仿宋_GB2312" w:hAnsi="仿宋_GB2312" w:eastAsia="仿宋_GB2312" w:cs="仿宋_GB2312"/>
          <w:sz w:val="32"/>
          <w:szCs w:val="32"/>
          <w:lang w:val="zh-CN"/>
        </w:rPr>
        <w:t>，搞好市场监管，大力促进社会事业发展，发展镇村经济，文化和社会事业，提供公共服务，维护社会稳定，完成市委、市人民政府交办的其他任务，构建社会主义和谐社会。</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社会事业综合服务中心（挂网格化综合服务中心牌子）：主要负责劳动保障就业、最低生活保障、劳动争议调解、社会保险、农村养老保险和医疗保险等服务性工作；承担文化宣传、广播影视、文艺演出、群众体育、科技推广、科普培训等公益服务职责；负责网格化综合管理的事务性、辅助性工作，为网格化管理的巡查、指挥、调度、督办等工作提供技术支撑。</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农业综合服务中心：主要负责组织指导农业产业发展、精准扶贫、移民开发管理、农业机械管理、畜牧水产发展、烟叶生产等农业农村工作；负责农业、林业、水利、农业机械、畜牧兽医等基层农业技术推广，动植物疫病防控防治、护林防火、防汛抗旱、农田水利建设、农产品质量安全监测等服务性、技术性工作。</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政务服务中心（挂党群服务中心牌子）：主要负责行政审批服务事项的组织实施；负责接听12345热线并督办相关问题；负责优化营商环境事务协调，办理与群众、企业密切相关政务服务事项。集中受理和办理涉及经济发展、公共管理以及与群众利益密切相关的行政许可（审批）、公共服务、便民服务事项；负责对各便民服务窗口和窗口工作人员进行管理考核；负责代办各类外来投资项目及与群众密切相关的服务事项。</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rPr>
        <w:t>综合行政执法队</w:t>
      </w:r>
      <w:r>
        <w:rPr>
          <w:rFonts w:hint="eastAsia" w:ascii="仿宋_GB2312" w:hAnsi="仿宋_GB2312" w:eastAsia="仿宋_GB2312" w:cs="仿宋_GB2312"/>
          <w:sz w:val="32"/>
          <w:szCs w:val="32"/>
          <w:lang w:val="zh-CN" w:eastAsia="zh-CN"/>
        </w:rPr>
        <w:t>：</w:t>
      </w:r>
      <w:r>
        <w:rPr>
          <w:rFonts w:hint="eastAsia" w:ascii="仿宋_GB2312" w:hAnsi="仿宋_GB2312" w:eastAsia="仿宋_GB2312" w:cs="仿宋_GB2312"/>
          <w:sz w:val="32"/>
          <w:szCs w:val="32"/>
          <w:lang w:val="zh-CN"/>
        </w:rPr>
        <w:t>负责统筹协调派驻机构和本级执法力量，在辖区内开展联合执法工作。依法依规相对集中行使或会同派驻机构行使在辖区范围内的农业、文化旅游、生态环境保护、城镇管理、市场监管、交通运输等方面的行政执法权。</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（二）部门整体支出规模、使用方向和主要内容、涉及范围等。</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2022年财政总支出为8334.37万元，其中：</w:t>
      </w:r>
      <w:r>
        <w:rPr>
          <w:rFonts w:hint="eastAsia" w:ascii="仿宋_GB2312" w:hAnsi="仿宋_GB2312" w:eastAsia="仿宋_GB2312" w:cs="仿宋_GB2312"/>
          <w:sz w:val="32"/>
          <w:szCs w:val="32"/>
          <w:lang w:val="zh-CN" w:eastAsia="zh-CN"/>
        </w:rPr>
        <w:t>一般公共财政预算支出</w:t>
      </w:r>
      <w:r>
        <w:rPr>
          <w:rFonts w:hint="eastAsia" w:ascii="仿宋_GB2312" w:hAnsi="仿宋_GB2312" w:eastAsia="仿宋_GB2312" w:cs="仿宋_GB2312"/>
          <w:sz w:val="32"/>
          <w:szCs w:val="32"/>
          <w:lang w:val="en-US" w:eastAsia="zh-CN"/>
        </w:rPr>
        <w:t>5348.17</w:t>
      </w:r>
      <w:r>
        <w:rPr>
          <w:rFonts w:hint="eastAsia" w:ascii="仿宋_GB2312" w:hAnsi="仿宋_GB2312" w:eastAsia="仿宋_GB2312" w:cs="仿宋_GB2312"/>
          <w:sz w:val="32"/>
          <w:szCs w:val="32"/>
          <w:lang w:val="zh-CN" w:eastAsia="zh-CN"/>
        </w:rPr>
        <w:t>万元</w:t>
      </w:r>
      <w:r>
        <w:rPr>
          <w:rFonts w:hint="eastAsia" w:ascii="仿宋_GB2312" w:hAnsi="仿宋_GB2312" w:eastAsia="仿宋_GB2312" w:cs="仿宋_GB2312"/>
          <w:sz w:val="32"/>
          <w:szCs w:val="32"/>
          <w:lang w:val="en-US" w:eastAsia="zh-CN"/>
        </w:rPr>
        <w:t>,政府性基金预算支出169.86万元，其他资金支出2816.34万元。</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财政支出执行情况按功能科目如下：一般公共服务支出2494.84万元；公共安全支出0.86万元；教育支出147.76万元；文化体育与传媒支出180.72万元；社会保障和就业支出457.40万元；卫生健康支出72.89万元；节能环保支出189.32万元；城乡社区事务支出150.83万元；农林水支出3200.78万元；交通运输支出1439.38万元；商业服务业等支出0.2万元；住房保障支出254.73万元；灾害防治及应急管理支出75万元；其他支出318.72万元。</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二、部门整体支出管理及使用情况</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（一）基本支出</w:t>
      </w:r>
    </w:p>
    <w:p>
      <w:pPr>
        <w:pStyle w:val="5"/>
        <w:keepNext w:val="0"/>
        <w:keepLines w:val="0"/>
        <w:pageBreakBefore w:val="0"/>
        <w:widowControl/>
        <w:pBdr>
          <w:top w:val="none" w:color="auto" w:sz="0" w:space="0"/>
          <w:left w:val="none" w:color="auto" w:sz="0" w:space="0"/>
          <w:bottom w:val="none" w:color="auto" w:sz="0" w:space="0"/>
          <w:right w:val="none" w:color="auto" w:sz="0" w:space="0"/>
        </w:pBdr>
        <w:shd w:val="clear" w:color="070000" w:fill="FFFFFF"/>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基本支出：是指为保障单位机构正常运转、完成日常工作任务而发生的各项支出，包括用于基本工资、津贴补贴等人员经费以及办公费、印刷费、水电费、办公设备购置等日常公用经费。2022年基本支出2113.40万元，包括人员经费1991.67万元，公用经费121.73万元。人员经费主要用于干职工工资福利支出以及对个人和家庭补助支出。公用经费用于办公、会议、印刷、培训以及三公经费开支。</w:t>
      </w:r>
    </w:p>
    <w:p>
      <w:pPr>
        <w:pStyle w:val="5"/>
        <w:keepNext w:val="0"/>
        <w:keepLines w:val="0"/>
        <w:pageBreakBefore w:val="0"/>
        <w:widowControl/>
        <w:pBdr>
          <w:top w:val="none" w:color="auto" w:sz="0" w:space="0"/>
          <w:left w:val="none" w:color="auto" w:sz="0" w:space="0"/>
          <w:bottom w:val="none" w:color="auto" w:sz="0" w:space="0"/>
          <w:right w:val="none" w:color="auto" w:sz="0" w:space="0"/>
        </w:pBdr>
        <w:shd w:val="clear" w:color="070000" w:fill="FFFFFF"/>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“三公”经费支出情况：</w:t>
      </w:r>
    </w:p>
    <w:p>
      <w:pPr>
        <w:pStyle w:val="5"/>
        <w:keepNext w:val="0"/>
        <w:keepLines w:val="0"/>
        <w:pageBreakBefore w:val="0"/>
        <w:widowControl/>
        <w:pBdr>
          <w:top w:val="none" w:color="auto" w:sz="0" w:space="0"/>
          <w:left w:val="none" w:color="auto" w:sz="0" w:space="0"/>
          <w:bottom w:val="none" w:color="auto" w:sz="0" w:space="0"/>
          <w:right w:val="none" w:color="auto" w:sz="0" w:space="0"/>
        </w:pBdr>
        <w:shd w:val="clear" w:color="070000" w:fill="FFFFFF"/>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2022年因公出国费0元，与上年一致；公务接待费7.38万，共计接待327批次，约1600人次。</w:t>
      </w:r>
    </w:p>
    <w:p>
      <w:pPr>
        <w:pStyle w:val="5"/>
        <w:keepNext w:val="0"/>
        <w:keepLines w:val="0"/>
        <w:pageBreakBefore w:val="0"/>
        <w:widowControl/>
        <w:pBdr>
          <w:top w:val="none" w:color="auto" w:sz="0" w:space="0"/>
          <w:left w:val="none" w:color="auto" w:sz="0" w:space="0"/>
          <w:bottom w:val="none" w:color="auto" w:sz="0" w:space="0"/>
          <w:right w:val="none" w:color="auto" w:sz="0" w:space="0"/>
        </w:pBdr>
        <w:shd w:val="clear" w:color="070000" w:fill="FFFFFF"/>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公务用车运行维护费2.85万，比上年度减少0.06万元。我单位实有公车2辆。</w:t>
      </w:r>
    </w:p>
    <w:p>
      <w:pPr>
        <w:pStyle w:val="5"/>
        <w:keepNext w:val="0"/>
        <w:keepLines w:val="0"/>
        <w:pageBreakBefore w:val="0"/>
        <w:widowControl/>
        <w:pBdr>
          <w:top w:val="none" w:color="auto" w:sz="0" w:space="0"/>
          <w:left w:val="none" w:color="auto" w:sz="0" w:space="0"/>
          <w:bottom w:val="none" w:color="auto" w:sz="0" w:space="0"/>
          <w:right w:val="none" w:color="auto" w:sz="0" w:space="0"/>
        </w:pBdr>
        <w:shd w:val="clear" w:color="070000" w:fill="FFFFFF"/>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会议费支出情况：2022年支付会议费1.31万元，比上年度减少0.89万元。</w:t>
      </w:r>
    </w:p>
    <w:p>
      <w:pPr>
        <w:pStyle w:val="5"/>
        <w:keepNext w:val="0"/>
        <w:keepLines w:val="0"/>
        <w:pageBreakBefore w:val="0"/>
        <w:widowControl/>
        <w:pBdr>
          <w:top w:val="none" w:color="auto" w:sz="0" w:space="0"/>
          <w:left w:val="none" w:color="auto" w:sz="0" w:space="0"/>
          <w:bottom w:val="none" w:color="auto" w:sz="0" w:space="0"/>
          <w:right w:val="none" w:color="auto" w:sz="0" w:space="0"/>
        </w:pBdr>
        <w:shd w:val="clear" w:color="070000" w:fill="FFFFFF"/>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培训费支出情况：2022年支付培训费1.10万元，比上年度增加6.54万元。</w:t>
      </w:r>
    </w:p>
    <w:p>
      <w:pPr>
        <w:pStyle w:val="5"/>
        <w:keepNext w:val="0"/>
        <w:keepLines w:val="0"/>
        <w:pageBreakBefore w:val="0"/>
        <w:widowControl/>
        <w:pBdr>
          <w:top w:val="none" w:color="auto" w:sz="0" w:space="0"/>
          <w:left w:val="none" w:color="auto" w:sz="0" w:space="0"/>
          <w:bottom w:val="none" w:color="auto" w:sz="0" w:space="0"/>
          <w:right w:val="none" w:color="auto" w:sz="0" w:space="0"/>
        </w:pBdr>
        <w:shd w:val="clear" w:color="070000" w:fill="FFFFFF"/>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我单位进一步完善了《沙田乡财务管理制度》，明确了对各项收支管理制度。公务用餐活动费、会议费、培训费等按照宁乡市最新相关规定文件执行。</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（二）项目支出</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1.项目资金（包括财政资金、自筹资金等）安排落实、总投入等情况分析。</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支出是指乡镇各部门为履行工作职能，完成工作任务，需要发生的经常事务性的项目支出和完成特定工作任务或事业发展目标而发生的项目支出(包括通过发改部门立项安排的项目支出)。2022年全年项目资金共计支出6220.97万元，其中基本建设类项目支出853.66万元。2022年项目支出主要用于乡村振兴、美丽宜居村庄创建、农村公路、水利建设等项目。</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2.项目资金（主要指财政资金）实际使用情况分析。</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一般公共预算财政拨款项目支出3239.47万元。绩效总目标和阶段性目标都已按照计划完成，未逾期。所有开支均按照我单位财务管理制度执行，资金的使用严格把关。</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3.项目资金管理情况分析，主要包括管理制度、办法的制订及执行情况。</w:t>
      </w:r>
    </w:p>
    <w:p>
      <w:pPr>
        <w:pStyle w:val="5"/>
        <w:keepNext w:val="0"/>
        <w:keepLines w:val="0"/>
        <w:pageBreakBefore w:val="0"/>
        <w:widowControl/>
        <w:numPr>
          <w:ilvl w:val="0"/>
          <w:numId w:val="0"/>
        </w:numPr>
        <w:pBdr>
          <w:top w:val="none" w:color="auto" w:sz="0" w:space="0"/>
          <w:left w:val="none" w:color="auto" w:sz="0" w:space="0"/>
          <w:bottom w:val="none" w:color="auto" w:sz="0" w:space="0"/>
          <w:right w:val="none" w:color="auto" w:sz="0" w:space="0"/>
        </w:pBdr>
        <w:shd w:val="clear" w:color="080000" w:fill="FFFFFF"/>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我乡项目资金全部按财政国库集中支付制度要求使用和拨付，通过财政直接支付方式拨给项目实施单位。在拨付过程中严把监督审核关，建立健全内部审批制度，财务做好项目专帐，严格实行专款专用，保证资金及时足额用到项目中。</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三、部门项目组织实施情况</w:t>
      </w:r>
    </w:p>
    <w:p>
      <w:pPr>
        <w:keepNext w:val="0"/>
        <w:keepLines w:val="0"/>
        <w:pageBreakBefore w:val="0"/>
        <w:widowControl/>
        <w:kinsoku/>
        <w:wordWrap/>
        <w:overflowPunct/>
        <w:topLinePunct w:val="0"/>
        <w:autoSpaceDE/>
        <w:autoSpaceDN/>
        <w:bidi w:val="0"/>
        <w:adjustRightInd/>
        <w:snapToGrid/>
        <w:spacing w:line="520" w:lineRule="exact"/>
        <w:ind w:firstLine="641"/>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（一）项目组织情况分析，主要包括项目招投标、调整、竣工验收等情况。</w:t>
      </w:r>
    </w:p>
    <w:p>
      <w:pPr>
        <w:keepNext w:val="0"/>
        <w:keepLines w:val="0"/>
        <w:pageBreakBefore w:val="0"/>
        <w:widowControl/>
        <w:kinsoku/>
        <w:wordWrap/>
        <w:overflowPunct/>
        <w:topLinePunct w:val="0"/>
        <w:autoSpaceDE/>
        <w:autoSpaceDN/>
        <w:bidi w:val="0"/>
        <w:adjustRightInd/>
        <w:snapToGrid/>
        <w:spacing w:line="520" w:lineRule="exact"/>
        <w:ind w:firstLine="641"/>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全乡政府投资项目未达到法定招标规模，2022年全乡没有公开招标项目，所有40万元以上的货物、50万元以上的服务采购项目和60万元以上的工程项目均按照长沙市政府采购的相关要求实施采购。</w:t>
      </w:r>
    </w:p>
    <w:p>
      <w:pPr>
        <w:pStyle w:val="5"/>
        <w:keepNext w:val="0"/>
        <w:keepLines w:val="0"/>
        <w:pageBreakBefore w:val="0"/>
        <w:widowControl/>
        <w:pBdr>
          <w:top w:val="none" w:color="auto" w:sz="0" w:space="0"/>
          <w:left w:val="none" w:color="auto" w:sz="0" w:space="0"/>
          <w:bottom w:val="none" w:color="auto" w:sz="0" w:space="0"/>
          <w:right w:val="none" w:color="auto" w:sz="0" w:space="0"/>
        </w:pBdr>
        <w:shd w:val="clear" w:color="070000" w:fill="FFFFFF"/>
        <w:kinsoku/>
        <w:wordWrap/>
        <w:overflowPunct/>
        <w:topLinePunct w:val="0"/>
        <w:autoSpaceDE/>
        <w:autoSpaceDN/>
        <w:bidi w:val="0"/>
        <w:adjustRightInd/>
        <w:snapToGrid/>
        <w:spacing w:before="0" w:beforeAutospacing="0" w:after="0" w:afterAutospacing="0" w:line="520" w:lineRule="exact"/>
        <w:ind w:left="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我乡规定：项目工程在完成方案设计、初步预算、合同签订后统一由经济发展办组织实施，各线办不得自行确定施工队伍。招投标工程必须完成立项、规划、建设、国土等行政审批手续取得施工许可证后才能动工。项目管理严格执行项目法人责任制、招标投标制、建设监理制、合同管理制。任何单位和个人不得随意变更设计文件、施工图等。工程变更由负责项目的专业技术人员提出，经经发办分管领导组织实地查看后按相关程序予以实施。</w:t>
      </w:r>
    </w:p>
    <w:p>
      <w:pPr>
        <w:pStyle w:val="5"/>
        <w:keepNext w:val="0"/>
        <w:keepLines w:val="0"/>
        <w:pageBreakBefore w:val="0"/>
        <w:widowControl/>
        <w:pBdr>
          <w:top w:val="none" w:color="auto" w:sz="0" w:space="0"/>
          <w:left w:val="none" w:color="auto" w:sz="0" w:space="0"/>
          <w:bottom w:val="none" w:color="auto" w:sz="0" w:space="0"/>
          <w:right w:val="none" w:color="auto" w:sz="0" w:space="0"/>
        </w:pBdr>
        <w:shd w:val="clear" w:color="070000" w:fill="FFFFFF"/>
        <w:kinsoku/>
        <w:wordWrap/>
        <w:overflowPunct/>
        <w:topLinePunct w:val="0"/>
        <w:autoSpaceDE/>
        <w:autoSpaceDN/>
        <w:bidi w:val="0"/>
        <w:adjustRightInd/>
        <w:snapToGrid/>
        <w:spacing w:before="0" w:beforeAutospacing="0" w:after="0" w:afterAutospacing="0" w:line="520" w:lineRule="exact"/>
        <w:ind w:left="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我乡规定：施工单位完成所承包项目工程所有工作后，进行自检，自检合格后，以书面形式向监理部门、建设方工程部申请进行竣工验收。监理方和工程部在收到申请报告后，由经发办委派建设方项目经理汇同监理方各专业人员进行初检，初检合格后将验收结果报经发办，否则，责令返工。经发办在收到验收报告后，向经发办分管领导报告，在征得领导同意批示后，会同乡纪委、财政所、监理单位进行统一验收，签署验收文件。施工单位在收到验收文件后，在监理单位统一组织下编制工程竣工备案文件。</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（二）项目管理情况分析，主要包括项目管理制度建设、日常检查监督管理等情况。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我乡项目实施和资金使用分配坚持乡党委会议集体决策。项目管理严格按照《沙田乡人民政府投资项目管理办法》实施，成立沙田乡政府投资项目领导小组，由乡党委书记任顾问，乡人民政府乡长任组长，分管领导任常务副组长，纪检、财贸、国土、规划分管领导任副组长，经济发展办、纪委、财政所、自然资源所为成员单位，领导小组办公室设经济发展办，负责政府投资项目日常管理、稽察等工作，由经发办主任担任办公室主任。从项目计划、审批、工程概算及预算、合同制度、施工管理、项目验收、项目结算等七个方面对项目实施进行详细的规定。具体实施金额的要求严格按照宁乡市委办、市人民政府关于进一步加强政府投资建设项目管理的通知执行。</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四、资产管理情况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沙田乡固定资产的管理和使用坚持“统一政策、统一领导、分级管理、责任到人、物尽其用”的原则。乡财政所安排专人负责固定资产台账登记管理，加强资产管理信息系统建设，及时登记资产变动情况，按时上报资产信息数据。2022年初固定资产净值640.7万元，全年新增22.77万元，主要是2022年度购置了一批空调、办公家具等设备。2022年固定资产期末余额663.47万元。所有资产的构建、购入、出租、报废等严格按照《宁乡市行政事业单位固定资产管理暂行办法》的规定，经乡领导审核同意后，报市乡镇财政监管中心以及国有资产管理中心审批后执行。</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部门整体支出绩效情况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过去的一年，沙田乡</w:t>
      </w:r>
      <w:r>
        <w:rPr>
          <w:rFonts w:hint="eastAsia" w:ascii="仿宋_GB2312" w:hAnsi="仿宋_GB2312" w:eastAsia="仿宋_GB2312" w:cs="仿宋_GB2312"/>
          <w:color w:val="auto"/>
          <w:sz w:val="32"/>
          <w:szCs w:val="32"/>
        </w:rPr>
        <w:t>深入学习贯彻党的二十大精神，坚持“稳住、进好、调优”总基调，聚焦“三高四新”战略定位和使命任务，</w:t>
      </w:r>
      <w:r>
        <w:rPr>
          <w:rFonts w:hint="eastAsia" w:ascii="仿宋_GB2312" w:hAnsi="仿宋_GB2312" w:eastAsia="仿宋_GB2312" w:cs="仿宋_GB2312"/>
          <w:color w:val="auto"/>
          <w:sz w:val="32"/>
          <w:szCs w:val="32"/>
          <w:lang w:val="en-US" w:eastAsia="zh-CN"/>
        </w:rPr>
        <w:t>紧扣</w:t>
      </w:r>
      <w:r>
        <w:rPr>
          <w:rFonts w:hint="eastAsia" w:ascii="仿宋_GB2312" w:hAnsi="仿宋_GB2312" w:eastAsia="仿宋_GB2312" w:cs="仿宋_GB2312"/>
          <w:color w:val="auto"/>
          <w:sz w:val="32"/>
          <w:szCs w:val="32"/>
        </w:rPr>
        <w:t>“红色文旅特色乡，乡村振兴示范区，美丽宜居幸福地”</w:t>
      </w:r>
      <w:r>
        <w:rPr>
          <w:rFonts w:hint="eastAsia" w:ascii="仿宋_GB2312" w:hAnsi="仿宋_GB2312" w:eastAsia="仿宋_GB2312" w:cs="仿宋_GB2312"/>
          <w:color w:val="auto"/>
          <w:sz w:val="32"/>
          <w:szCs w:val="32"/>
          <w:lang w:val="en-US" w:eastAsia="zh-CN"/>
        </w:rPr>
        <w:t>发展思路，降本增效、培基拓源、严格管理、注重绩效，较好的完成了年度目标任务，资产管理清晰有效，各项业务开展情况较好，部门整体支出绩效完成情况较好。红色文旅蓬勃发展，投入1100余万元提质红培基地与何叔衡、谢觉哉两故居周边配套，打造涓水河精品旅游线路，完成涓水河农村公路提升改造、涓水河河道治理等项目，景区面貌焕然一新。投入产业衔接资金238.5万元，推动巩固脱贫攻坚成果同乡村振兴战略有效衔接。全力推进美丽宜居村庄建设，9个美丽宜居村庄投入近1000万元，全部顺利通过验收</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kern w:val="2"/>
          <w:sz w:val="32"/>
          <w:szCs w:val="32"/>
          <w:lang w:eastAsia="zh-CN" w:bidi="ar-SA"/>
        </w:rPr>
      </w:pPr>
      <w:r>
        <w:rPr>
          <w:rFonts w:hint="eastAsia" w:ascii="仿宋_GB2312" w:hAnsi="仿宋_GB2312" w:eastAsia="仿宋_GB2312" w:cs="仿宋_GB2312"/>
          <w:b/>
          <w:bCs/>
          <w:kern w:val="2"/>
          <w:sz w:val="32"/>
          <w:szCs w:val="32"/>
          <w:lang w:eastAsia="zh-CN" w:bidi="ar-SA"/>
        </w:rPr>
        <w:t>1.运行成本分析</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（1）成本（预算）控制情况。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2"/>
          <w:sz w:val="32"/>
          <w:szCs w:val="32"/>
          <w:lang w:eastAsia="zh-CN" w:bidi="ar-SA"/>
        </w:rPr>
      </w:pPr>
      <w:r>
        <w:rPr>
          <w:rFonts w:hint="eastAsia" w:ascii="仿宋_GB2312" w:hAnsi="仿宋_GB2312" w:eastAsia="仿宋_GB2312" w:cs="仿宋_GB2312"/>
          <w:kern w:val="2"/>
          <w:sz w:val="32"/>
          <w:szCs w:val="32"/>
          <w:lang w:eastAsia="zh-CN" w:bidi="ar-SA"/>
        </w:rPr>
        <w:t>沙田乡不断加强成本控制和成本规划，创新工作机制，建立了内审工作站和运行机制，严格执行国库集中支付、招投标和政府采购、财政预决算评审制度，不断提升项目管理水平，提高资金使用效益。无截留、挤占、挪用、虚列支出等情况。部门整体支出成本在预算以内。</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（2）成本（预算）节约情况。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沙田乡全年收入、支出进行了科学规划预算，项目安排合理，没有超出计划（设计）标准，没有重复建设，依据现有资金、资源，结合实际情况，实事求是，实现财政资金效益的最大化。相对节约了项目成本。</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kern w:val="2"/>
          <w:sz w:val="32"/>
          <w:szCs w:val="32"/>
          <w:lang w:eastAsia="zh-CN" w:bidi="ar-SA"/>
        </w:rPr>
      </w:pPr>
      <w:r>
        <w:rPr>
          <w:rFonts w:hint="eastAsia" w:ascii="仿宋_GB2312" w:hAnsi="仿宋_GB2312" w:eastAsia="仿宋_GB2312" w:cs="仿宋_GB2312"/>
          <w:b/>
          <w:bCs/>
          <w:kern w:val="2"/>
          <w:sz w:val="32"/>
          <w:szCs w:val="32"/>
          <w:lang w:eastAsia="zh-CN" w:bidi="ar-SA"/>
        </w:rPr>
        <w:t>2.管理效率分析</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（1）预算执行实施进度。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预算严格按进度执行及实施，年度内预算执行情况较好，一般公共预算资金执行率92%。</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（2）项目完成质量。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沙田乡所有</w:t>
      </w:r>
      <w:r>
        <w:rPr>
          <w:rFonts w:hint="eastAsia" w:ascii="仿宋_GB2312" w:hAnsi="仿宋_GB2312" w:eastAsia="仿宋_GB2312" w:cs="仿宋_GB2312"/>
          <w:kern w:val="2"/>
          <w:sz w:val="32"/>
          <w:szCs w:val="32"/>
          <w:lang w:eastAsia="zh-CN" w:bidi="ar-SA"/>
        </w:rPr>
        <w:t>项目</w:t>
      </w:r>
      <w:r>
        <w:rPr>
          <w:rFonts w:hint="eastAsia" w:ascii="仿宋_GB2312" w:hAnsi="仿宋_GB2312" w:eastAsia="仿宋_GB2312" w:cs="仿宋_GB2312"/>
          <w:kern w:val="2"/>
          <w:sz w:val="32"/>
          <w:szCs w:val="32"/>
          <w:lang w:val="en-US" w:eastAsia="zh-CN" w:bidi="ar-SA"/>
        </w:rPr>
        <w:t>，都有质量监督管理人员检测，实施过程监督管理，完工后组织各方面力量进行验收，质量良好。</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kern w:val="2"/>
          <w:sz w:val="32"/>
          <w:szCs w:val="32"/>
          <w:lang w:eastAsia="zh-CN" w:bidi="ar-SA"/>
        </w:rPr>
      </w:pPr>
      <w:r>
        <w:rPr>
          <w:rFonts w:hint="eastAsia" w:ascii="仿宋_GB2312" w:hAnsi="仿宋_GB2312" w:eastAsia="仿宋_GB2312" w:cs="仿宋_GB2312"/>
          <w:b/>
          <w:bCs/>
          <w:kern w:val="2"/>
          <w:sz w:val="32"/>
          <w:szCs w:val="32"/>
          <w:lang w:eastAsia="zh-CN" w:bidi="ar-SA"/>
        </w:rPr>
        <w:t>3.履职效能分析</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（1）预期目标完成程度。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宁乡市沙田乡部门整体支出已达到项目预期目标。</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4</w:t>
      </w:r>
      <w:r>
        <w:rPr>
          <w:rFonts w:hint="eastAsia" w:ascii="仿宋_GB2312" w:hAnsi="仿宋_GB2312" w:eastAsia="仿宋_GB2312" w:cs="仿宋_GB2312"/>
          <w:b/>
          <w:bCs/>
          <w:kern w:val="2"/>
          <w:sz w:val="32"/>
          <w:szCs w:val="32"/>
          <w:lang w:eastAsia="zh-CN" w:bidi="ar-SA"/>
        </w:rPr>
        <w:t>.社会效应分析</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部门整体支出安排兼顾了当前与长远利益，突出了“三保”功能，重点支出安排保障了民生支出和当前中心工作的需要。整体来说统筹推进了疫情防控和经济社会发展，较好的承受住了疫情、灾性的考验，扎实做好了“六稳”工作、全面落实了“六保”任务。“</w:t>
      </w:r>
      <w:r>
        <w:rPr>
          <w:rFonts w:hint="eastAsia" w:ascii="仿宋_GB2312" w:hAnsi="仿宋_GB2312" w:eastAsia="仿宋_GB2312" w:cs="仿宋_GB2312"/>
          <w:color w:val="auto"/>
          <w:sz w:val="32"/>
          <w:szCs w:val="32"/>
        </w:rPr>
        <w:t>红色文旅特色乡，乡村振兴示范区，美丽宜居幸福地</w:t>
      </w:r>
      <w:r>
        <w:rPr>
          <w:rFonts w:hint="eastAsia" w:ascii="仿宋_GB2312" w:hAnsi="仿宋_GB2312" w:eastAsia="仿宋_GB2312" w:cs="仿宋_GB2312"/>
          <w:color w:val="auto"/>
          <w:sz w:val="32"/>
          <w:szCs w:val="32"/>
          <w:lang w:eastAsia="zh-CN"/>
        </w:rPr>
        <w:t>”的发展振奋</w:t>
      </w:r>
      <w:r>
        <w:rPr>
          <w:rFonts w:hint="eastAsia" w:ascii="仿宋_GB2312" w:hAnsi="仿宋_GB2312" w:eastAsia="仿宋_GB2312" w:cs="仿宋_GB2312"/>
          <w:kern w:val="2"/>
          <w:sz w:val="32"/>
          <w:szCs w:val="32"/>
          <w:lang w:val="en-US" w:eastAsia="zh-CN" w:bidi="ar-SA"/>
        </w:rPr>
        <w:t>人心，基础设施得到了改善，生产生活环境稳步提高，群众充分享受现代文明发展的成果，社会效应显著。</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5.可持续性分析</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kern w:val="2"/>
          <w:sz w:val="32"/>
          <w:szCs w:val="32"/>
          <w:lang w:val="en-US" w:eastAsia="zh-CN" w:bidi="ar-SA"/>
        </w:rPr>
        <w:t>沙田乡按一张蓝图画到底、一届接着一届干的要求，连续发力，构建“</w:t>
      </w:r>
      <w:r>
        <w:rPr>
          <w:rFonts w:hint="eastAsia" w:ascii="仿宋_GB2312" w:hAnsi="仿宋_GB2312" w:eastAsia="仿宋_GB2312" w:cs="仿宋_GB2312"/>
          <w:color w:val="auto"/>
          <w:sz w:val="32"/>
          <w:szCs w:val="32"/>
        </w:rPr>
        <w:t>红色文旅特色乡，乡村振兴示范区，美丽宜居幸福地</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kern w:val="2"/>
          <w:sz w:val="32"/>
          <w:szCs w:val="32"/>
          <w:lang w:val="en-US" w:eastAsia="zh-CN" w:bidi="ar-SA"/>
        </w:rPr>
        <w:t>支出完成后，后续政策具有一致性，资金安排有连贯性，人员机构安排具有稳定性，在后续管理措施方面，将通过严格执行各项管理制度，改革不足方面，保证工作有序推进。</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存在的主要问题</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rPr>
        <w:t>一是</w:t>
      </w:r>
      <w:r>
        <w:rPr>
          <w:rFonts w:hint="eastAsia" w:ascii="仿宋_GB2312" w:hAnsi="仿宋_GB2312" w:eastAsia="仿宋_GB2312" w:cs="仿宋_GB2312"/>
          <w:color w:val="auto"/>
          <w:sz w:val="32"/>
          <w:szCs w:val="32"/>
          <w:lang w:val="en-US" w:eastAsia="zh-CN"/>
        </w:rPr>
        <w:t>乡级财政自给能力不足，保运转、保民生压力加大，税源短缺与财政支出矛盾凸显；我乡产业基础仍较为薄弱，村集体经济发展动力不足。二是预算准确率方面有待进一步增强，财政人员业务水平仍待提高。</w:t>
      </w:r>
    </w:p>
    <w:p>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rPr>
      </w:pPr>
      <w:bookmarkStart w:id="0" w:name="_GoBack"/>
      <w:r>
        <w:rPr>
          <w:rFonts w:hint="eastAsia" w:ascii="仿宋_GB2312" w:hAnsi="仿宋_GB2312" w:eastAsia="仿宋_GB2312" w:cs="仿宋_GB2312"/>
          <w:b/>
          <w:bCs/>
          <w:sz w:val="32"/>
          <w:szCs w:val="32"/>
        </w:rPr>
        <w:t>七、改进措施和有关建议</w:t>
      </w:r>
    </w:p>
    <w:bookmarkEnd w:id="0"/>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1、</w:t>
      </w:r>
      <w:r>
        <w:rPr>
          <w:rFonts w:hint="eastAsia" w:ascii="仿宋_GB2312" w:hAnsi="仿宋_GB2312" w:eastAsia="仿宋_GB2312" w:cs="仿宋_GB2312"/>
          <w:kern w:val="0"/>
          <w:sz w:val="32"/>
          <w:szCs w:val="32"/>
          <w:lang w:val="en-US" w:eastAsia="zh-CN"/>
        </w:rPr>
        <w:t>强化培源促收。紧紧围绕湖南省</w:t>
      </w:r>
      <w:r>
        <w:rPr>
          <w:rFonts w:hint="eastAsia" w:ascii="仿宋_GB2312" w:hAnsi="仿宋_GB2312" w:eastAsia="仿宋_GB2312" w:cs="仿宋_GB2312"/>
          <w:kern w:val="0"/>
          <w:sz w:val="32"/>
          <w:szCs w:val="32"/>
          <w:lang w:eastAsia="zh-CN"/>
        </w:rPr>
        <w:t>“三高四新”战略定位和使命任务、宁乡市“建设省会副中心、挺进全国前十强”发展目标</w:t>
      </w:r>
      <w:r>
        <w:rPr>
          <w:rFonts w:hint="eastAsia" w:ascii="仿宋_GB2312" w:hAnsi="仿宋_GB2312" w:eastAsia="仿宋_GB2312" w:cs="仿宋_GB2312"/>
          <w:kern w:val="0"/>
          <w:sz w:val="32"/>
          <w:szCs w:val="32"/>
          <w:lang w:val="en-US" w:eastAsia="zh-CN"/>
        </w:rPr>
        <w:t>，落实各级支持实体经济发展政策，充分释放政策红利，夯实财源基础。强化税收征管，挖掘潜在税源、培植增量税源，推动财政收入总量和质量同步提高。</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eastAsia="zh-CN"/>
        </w:rPr>
        <w:t>2、</w:t>
      </w:r>
      <w:r>
        <w:rPr>
          <w:rFonts w:hint="eastAsia" w:ascii="仿宋_GB2312" w:hAnsi="仿宋_GB2312" w:eastAsia="仿宋_GB2312" w:cs="仿宋_GB2312"/>
          <w:kern w:val="0"/>
          <w:sz w:val="32"/>
          <w:szCs w:val="32"/>
          <w:lang w:val="en-US" w:eastAsia="zh-CN"/>
        </w:rPr>
        <w:t>优化支出结构。</w:t>
      </w:r>
      <w:r>
        <w:rPr>
          <w:rFonts w:hint="eastAsia" w:ascii="仿宋_GB2312" w:hAnsi="仿宋_GB2312" w:eastAsia="仿宋_GB2312" w:cs="仿宋_GB2312"/>
          <w:kern w:val="0"/>
          <w:sz w:val="32"/>
          <w:szCs w:val="32"/>
          <w:lang w:eastAsia="zh-CN"/>
        </w:rPr>
        <w:t>着力加大民生投入，服务于国家乡村振兴战略，不断深化各项改革。</w:t>
      </w:r>
      <w:r>
        <w:rPr>
          <w:rFonts w:hint="eastAsia" w:ascii="仿宋_GB2312" w:hAnsi="仿宋_GB2312" w:eastAsia="仿宋_GB2312" w:cs="仿宋_GB2312"/>
          <w:kern w:val="0"/>
          <w:sz w:val="32"/>
          <w:szCs w:val="32"/>
          <w:lang w:val="en-US" w:eastAsia="zh-CN"/>
        </w:rPr>
        <w:t>在2023年预算安排和执行中，进一步调整支出结构，做到有保有压。一是保障重点支出。坚持“先‘三保’支出、后其他支出”的原则，统筹各项财力来源，足额保障工资、运转和基本民生支出，全力保障乡村振兴、红色文旅小镇建设等重点工作的支出需求。二是压减一般性支出。严格落实各级财政要求，压减会议费、劳务费等一般性支出，精简各类活动开支。三是合理统筹财力，逐步化解乡村两级存量债务，严控新增债务。</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加强财政工作人员的学习培训，提高预算编制的能力，充分了解掌握和熟悉相关情况，预判分析发展趋势，力求年初预算更加精准。规范部门预算收支核算，严格按项目和进度执行预算，增强预算约束力和严肃性。加强对项目开展情况进行跟踪监督，及时发现掌握预算执行偏差原因，按法定程序实事求是的合理调整，切实提高部门预算收支管理水平。</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sz w:val="32"/>
          <w:szCs w:val="32"/>
          <w:lang w:val="en-US" w:eastAsia="zh-CN"/>
        </w:rPr>
      </w:pPr>
    </w:p>
    <w:p>
      <w:pPr>
        <w:pStyle w:val="5"/>
        <w:keepNext w:val="0"/>
        <w:keepLines w:val="0"/>
        <w:pageBreakBefore w:val="0"/>
        <w:widowControl/>
        <w:pBdr>
          <w:top w:val="none" w:color="auto" w:sz="0" w:space="0"/>
          <w:left w:val="none" w:color="auto" w:sz="0" w:space="0"/>
          <w:bottom w:val="none" w:color="auto" w:sz="0" w:space="0"/>
          <w:right w:val="none" w:color="auto" w:sz="0" w:space="0"/>
        </w:pBdr>
        <w:shd w:val="clear" w:color="070000" w:fill="FFFFFF"/>
        <w:kinsoku/>
        <w:wordWrap/>
        <w:overflowPunct/>
        <w:topLinePunct w:val="0"/>
        <w:autoSpaceDE/>
        <w:autoSpaceDN/>
        <w:bidi w:val="0"/>
        <w:adjustRightInd/>
        <w:snapToGrid/>
        <w:spacing w:before="0" w:beforeAutospacing="0" w:after="0" w:afterAutospacing="0" w:line="520" w:lineRule="exact"/>
        <w:ind w:left="0" w:right="0" w:firstLine="640"/>
        <w:jc w:val="both"/>
        <w:textAlignment w:val="auto"/>
        <w:rPr>
          <w:rFonts w:hint="eastAsia" w:ascii="仿宋_GB2312" w:hAnsi="仿宋_GB2312" w:eastAsia="仿宋_GB2312" w:cs="仿宋_GB2312"/>
          <w:kern w:val="2"/>
          <w:sz w:val="32"/>
          <w:szCs w:val="32"/>
          <w:lang w:val="en-US" w:eastAsia="zh-CN" w:bidi="ar-SA"/>
        </w:rPr>
      </w:pPr>
    </w:p>
    <w:p>
      <w:pPr>
        <w:pStyle w:val="5"/>
        <w:keepNext w:val="0"/>
        <w:keepLines w:val="0"/>
        <w:pageBreakBefore w:val="0"/>
        <w:widowControl/>
        <w:pBdr>
          <w:top w:val="none" w:color="auto" w:sz="0" w:space="0"/>
          <w:left w:val="none" w:color="auto" w:sz="0" w:space="0"/>
          <w:bottom w:val="none" w:color="auto" w:sz="0" w:space="0"/>
          <w:right w:val="none" w:color="auto" w:sz="0" w:space="0"/>
        </w:pBdr>
        <w:shd w:val="clear" w:color="070000" w:fill="FFFFFF"/>
        <w:kinsoku/>
        <w:wordWrap/>
        <w:overflowPunct/>
        <w:topLinePunct w:val="0"/>
        <w:autoSpaceDE/>
        <w:autoSpaceDN/>
        <w:bidi w:val="0"/>
        <w:adjustRightInd/>
        <w:snapToGrid/>
        <w:spacing w:before="0" w:beforeAutospacing="0" w:after="0" w:afterAutospacing="0" w:line="520" w:lineRule="exact"/>
        <w:ind w:left="0" w:right="0" w:firstLine="5126" w:firstLineChars="1602"/>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宁乡市沙田乡人民政府</w:t>
      </w:r>
    </w:p>
    <w:p>
      <w:pPr>
        <w:pStyle w:val="5"/>
        <w:keepNext w:val="0"/>
        <w:keepLines w:val="0"/>
        <w:pageBreakBefore w:val="0"/>
        <w:widowControl/>
        <w:pBdr>
          <w:top w:val="none" w:color="auto" w:sz="0" w:space="0"/>
          <w:left w:val="none" w:color="auto" w:sz="0" w:space="0"/>
          <w:bottom w:val="none" w:color="auto" w:sz="0" w:space="0"/>
          <w:right w:val="none" w:color="auto" w:sz="0" w:space="0"/>
        </w:pBdr>
        <w:shd w:val="clear" w:color="070000" w:fill="FFFFFF"/>
        <w:kinsoku/>
        <w:wordWrap/>
        <w:overflowPunct/>
        <w:topLinePunct w:val="0"/>
        <w:autoSpaceDE/>
        <w:autoSpaceDN/>
        <w:bidi w:val="0"/>
        <w:adjustRightInd/>
        <w:snapToGrid/>
        <w:spacing w:before="0" w:beforeAutospacing="0" w:after="0" w:afterAutospacing="0" w:line="520" w:lineRule="exact"/>
        <w:ind w:left="0" w:right="0" w:firstLine="5766" w:firstLineChars="1802"/>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2022年3月30日</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val="en-US" w:eastAsia="zh-CN"/>
        </w:rPr>
      </w:pPr>
    </w:p>
    <w:p>
      <w:pPr>
        <w:pStyle w:val="5"/>
        <w:keepNext w:val="0"/>
        <w:keepLines w:val="0"/>
        <w:pageBreakBefore w:val="0"/>
        <w:widowControl/>
        <w:pBdr>
          <w:top w:val="none" w:color="auto" w:sz="0" w:space="0"/>
          <w:left w:val="none" w:color="auto" w:sz="0" w:space="0"/>
          <w:bottom w:val="none" w:color="auto" w:sz="0" w:space="0"/>
          <w:right w:val="none" w:color="auto" w:sz="0" w:space="0"/>
        </w:pBdr>
        <w:shd w:val="clear" w:color="070000" w:fill="FFFFFF"/>
        <w:kinsoku/>
        <w:wordWrap/>
        <w:overflowPunct/>
        <w:topLinePunct w:val="0"/>
        <w:autoSpaceDE/>
        <w:autoSpaceDN/>
        <w:bidi w:val="0"/>
        <w:adjustRightInd/>
        <w:snapToGrid/>
        <w:spacing w:before="0" w:beforeAutospacing="0" w:after="0" w:afterAutospacing="0" w:line="520" w:lineRule="exact"/>
        <w:ind w:left="0" w:right="0" w:firstLine="5766" w:firstLineChars="1802"/>
        <w:jc w:val="both"/>
        <w:textAlignment w:val="auto"/>
        <w:rPr>
          <w:rFonts w:hint="eastAsia" w:ascii="仿宋_GB2312" w:hAnsi="仿宋_GB2312" w:eastAsia="仿宋_GB2312" w:cs="仿宋_GB2312"/>
          <w:kern w:val="2"/>
          <w:sz w:val="32"/>
          <w:szCs w:val="32"/>
          <w:lang w:val="en-US" w:eastAsia="zh-CN" w:bidi="ar-SA"/>
        </w:rPr>
      </w:pPr>
    </w:p>
    <w:sectPr>
      <w:pgSz w:w="11906" w:h="16838"/>
      <w:pgMar w:top="2098" w:right="1474" w:bottom="1984" w:left="1587"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83E004"/>
    <w:multiLevelType w:val="singleLevel"/>
    <w:tmpl w:val="0783E004"/>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OWJkMGVkZDExMmRjODQ2NmZjZmU2YWMzMWUxMzE2NzQifQ=="/>
  </w:docVars>
  <w:rsids>
    <w:rsidRoot w:val="7C6417C0"/>
    <w:rsid w:val="00A01A39"/>
    <w:rsid w:val="032F5EAC"/>
    <w:rsid w:val="084E75A8"/>
    <w:rsid w:val="0E470153"/>
    <w:rsid w:val="0E937FF7"/>
    <w:rsid w:val="106C59AA"/>
    <w:rsid w:val="1BDE4923"/>
    <w:rsid w:val="22322E5B"/>
    <w:rsid w:val="22E71356"/>
    <w:rsid w:val="2C693DBD"/>
    <w:rsid w:val="2CAA6ABD"/>
    <w:rsid w:val="32166341"/>
    <w:rsid w:val="34880B15"/>
    <w:rsid w:val="359C7269"/>
    <w:rsid w:val="38CE513F"/>
    <w:rsid w:val="393771F9"/>
    <w:rsid w:val="3BCF059C"/>
    <w:rsid w:val="46AB1CCB"/>
    <w:rsid w:val="49202ED7"/>
    <w:rsid w:val="4BBD1D54"/>
    <w:rsid w:val="502C392D"/>
    <w:rsid w:val="508C1C29"/>
    <w:rsid w:val="50F70D9C"/>
    <w:rsid w:val="53387457"/>
    <w:rsid w:val="535704F6"/>
    <w:rsid w:val="55833339"/>
    <w:rsid w:val="568F15B9"/>
    <w:rsid w:val="572367DE"/>
    <w:rsid w:val="5767789D"/>
    <w:rsid w:val="58471EB4"/>
    <w:rsid w:val="5A296A9C"/>
    <w:rsid w:val="5BF21B72"/>
    <w:rsid w:val="62534C53"/>
    <w:rsid w:val="625A6848"/>
    <w:rsid w:val="64AA70AD"/>
    <w:rsid w:val="66863079"/>
    <w:rsid w:val="6BE04384"/>
    <w:rsid w:val="7B6F109A"/>
    <w:rsid w:val="7C6417C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86</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2022-03-24T10:20:00Z</dcterms:created>
  <dc:creator>Administrator</dc:creator>
  <cp:lastModifiedBy>流沙小隐</cp:lastModifiedBy>
  <dcterms:modified xsi:type="dcterms:W3CDTF">2023-09-15T08:44:51Z</dcterms:modified>
  <dc:title>宁乡市沙田乡人民政府2021年</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44257AEE07E047EFB5C2A633756E9E22_12</vt:lpwstr>
  </property>
</Properties>
</file>