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line="574"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宁乡市沙田乡人民政府</w:t>
      </w:r>
      <w:r>
        <w:rPr>
          <w:rFonts w:hint="eastAsia" w:ascii="方正小标宋简体" w:hAnsi="方正小标宋简体" w:eastAsia="方正小标宋简体" w:cs="方正小标宋简体"/>
          <w:sz w:val="44"/>
          <w:szCs w:val="44"/>
          <w:lang w:val="en-US" w:eastAsia="zh-CN"/>
        </w:rPr>
        <w:t>2021年</w:t>
      </w:r>
    </w:p>
    <w:p>
      <w:pPr>
        <w:widowControl w:val="0"/>
        <w:wordWrap/>
        <w:adjustRightInd/>
        <w:snapToGrid/>
        <w:spacing w:line="574"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部门整体支出绩效评价报告</w:t>
      </w:r>
    </w:p>
    <w:p>
      <w:pPr>
        <w:widowControl w:val="0"/>
        <w:wordWrap/>
        <w:adjustRightInd/>
        <w:snapToGrid/>
        <w:spacing w:line="574" w:lineRule="exact"/>
        <w:ind w:firstLine="640" w:firstLineChars="200"/>
        <w:textAlignment w:val="auto"/>
        <w:rPr>
          <w:rFonts w:hint="eastAsia" w:ascii="仿宋" w:hAnsi="仿宋" w:eastAsia="仿宋" w:cs="仿宋"/>
          <w:sz w:val="32"/>
          <w:szCs w:val="32"/>
          <w:lang w:eastAsia="zh-CN"/>
        </w:rPr>
      </w:pPr>
      <w:bookmarkStart w:id="0" w:name="_GoBack"/>
      <w:bookmarkEnd w:id="0"/>
    </w:p>
    <w:p>
      <w:pPr>
        <w:widowControl w:val="0"/>
        <w:wordWrap/>
        <w:adjustRightInd/>
        <w:snapToGrid/>
        <w:spacing w:line="574"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i w:val="0"/>
          <w:caps w:val="0"/>
          <w:color w:val="333333"/>
          <w:spacing w:val="0"/>
          <w:sz w:val="32"/>
          <w:szCs w:val="32"/>
          <w:shd w:val="clear" w:color="070000" w:fill="FFFFFF"/>
        </w:rPr>
        <w:t>根据《</w:t>
      </w:r>
      <w:r>
        <w:rPr>
          <w:rFonts w:hint="eastAsia" w:ascii="仿宋" w:hAnsi="仿宋" w:eastAsia="仿宋" w:cs="仿宋"/>
          <w:i w:val="0"/>
          <w:caps w:val="0"/>
          <w:color w:val="333333"/>
          <w:spacing w:val="0"/>
          <w:sz w:val="32"/>
          <w:szCs w:val="32"/>
          <w:shd w:val="clear" w:color="070000" w:fill="FFFFFF"/>
          <w:lang w:eastAsia="zh-CN"/>
        </w:rPr>
        <w:t>宁乡市财政局关于开展</w:t>
      </w:r>
      <w:r>
        <w:rPr>
          <w:rFonts w:hint="eastAsia" w:ascii="仿宋" w:hAnsi="仿宋" w:eastAsia="仿宋" w:cs="仿宋"/>
          <w:i w:val="0"/>
          <w:caps w:val="0"/>
          <w:color w:val="333333"/>
          <w:spacing w:val="0"/>
          <w:sz w:val="32"/>
          <w:szCs w:val="32"/>
          <w:shd w:val="clear" w:color="070000" w:fill="FFFFFF"/>
          <w:lang w:val="en-US" w:eastAsia="zh-CN"/>
        </w:rPr>
        <w:t>2021年度部门预算单位绩效自评工作的通知</w:t>
      </w:r>
      <w:r>
        <w:rPr>
          <w:rFonts w:hint="eastAsia" w:ascii="仿宋" w:hAnsi="仿宋" w:eastAsia="仿宋" w:cs="仿宋"/>
          <w:i w:val="0"/>
          <w:caps w:val="0"/>
          <w:color w:val="333333"/>
          <w:spacing w:val="0"/>
          <w:sz w:val="32"/>
          <w:szCs w:val="32"/>
          <w:shd w:val="clear" w:color="070000" w:fill="FFFFFF"/>
        </w:rPr>
        <w:t>》（</w:t>
      </w:r>
      <w:r>
        <w:rPr>
          <w:rFonts w:hint="eastAsia" w:ascii="仿宋" w:hAnsi="仿宋" w:eastAsia="仿宋" w:cs="仿宋"/>
          <w:i w:val="0"/>
          <w:caps w:val="0"/>
          <w:color w:val="333333"/>
          <w:spacing w:val="0"/>
          <w:sz w:val="32"/>
          <w:szCs w:val="32"/>
          <w:shd w:val="clear" w:color="070000" w:fill="FFFFFF"/>
          <w:lang w:eastAsia="zh-CN"/>
        </w:rPr>
        <w:t>宁财</w:t>
      </w:r>
      <w:r>
        <w:rPr>
          <w:rFonts w:hint="eastAsia" w:ascii="仿宋" w:hAnsi="仿宋" w:eastAsia="仿宋" w:cs="仿宋"/>
          <w:i w:val="0"/>
          <w:caps w:val="0"/>
          <w:color w:val="333333"/>
          <w:spacing w:val="0"/>
          <w:sz w:val="32"/>
          <w:szCs w:val="32"/>
          <w:shd w:val="clear" w:color="070000" w:fill="FFFFFF"/>
        </w:rPr>
        <w:t>〔202</w:t>
      </w:r>
      <w:r>
        <w:rPr>
          <w:rFonts w:hint="eastAsia" w:ascii="仿宋" w:hAnsi="仿宋" w:eastAsia="仿宋" w:cs="仿宋"/>
          <w:i w:val="0"/>
          <w:caps w:val="0"/>
          <w:color w:val="333333"/>
          <w:spacing w:val="0"/>
          <w:sz w:val="32"/>
          <w:szCs w:val="32"/>
          <w:shd w:val="clear" w:color="070000" w:fill="FFFFFF"/>
          <w:lang w:val="en-US" w:eastAsia="zh-CN"/>
        </w:rPr>
        <w:t>2</w:t>
      </w:r>
      <w:r>
        <w:rPr>
          <w:rFonts w:hint="eastAsia" w:ascii="仿宋" w:hAnsi="仿宋" w:eastAsia="仿宋" w:cs="仿宋"/>
          <w:i w:val="0"/>
          <w:caps w:val="0"/>
          <w:color w:val="333333"/>
          <w:spacing w:val="0"/>
          <w:sz w:val="32"/>
          <w:szCs w:val="32"/>
          <w:shd w:val="clear" w:color="070000" w:fill="FFFFFF"/>
        </w:rPr>
        <w:t>〕</w:t>
      </w:r>
      <w:r>
        <w:rPr>
          <w:rFonts w:hint="eastAsia" w:ascii="仿宋" w:hAnsi="仿宋" w:eastAsia="仿宋" w:cs="仿宋"/>
          <w:i w:val="0"/>
          <w:caps w:val="0"/>
          <w:color w:val="333333"/>
          <w:spacing w:val="0"/>
          <w:sz w:val="32"/>
          <w:szCs w:val="32"/>
          <w:shd w:val="clear" w:color="070000" w:fill="FFFFFF"/>
          <w:lang w:val="en-US" w:eastAsia="zh-CN"/>
        </w:rPr>
        <w:t>6</w:t>
      </w:r>
      <w:r>
        <w:rPr>
          <w:rFonts w:hint="eastAsia" w:ascii="仿宋" w:hAnsi="仿宋" w:eastAsia="仿宋" w:cs="仿宋"/>
          <w:i w:val="0"/>
          <w:caps w:val="0"/>
          <w:color w:val="333333"/>
          <w:spacing w:val="0"/>
          <w:sz w:val="32"/>
          <w:szCs w:val="32"/>
          <w:shd w:val="clear" w:color="070000" w:fill="FFFFFF"/>
        </w:rPr>
        <w:t>号）文件精神，我</w:t>
      </w:r>
      <w:r>
        <w:rPr>
          <w:rFonts w:hint="eastAsia" w:ascii="仿宋" w:hAnsi="仿宋" w:eastAsia="仿宋" w:cs="仿宋"/>
          <w:i w:val="0"/>
          <w:caps w:val="0"/>
          <w:color w:val="333333"/>
          <w:spacing w:val="0"/>
          <w:sz w:val="32"/>
          <w:szCs w:val="32"/>
          <w:shd w:val="clear" w:color="070000" w:fill="FFFFFF"/>
          <w:lang w:eastAsia="zh-CN"/>
        </w:rPr>
        <w:t>单位</w:t>
      </w:r>
      <w:r>
        <w:rPr>
          <w:rFonts w:hint="eastAsia" w:ascii="仿宋" w:hAnsi="仿宋" w:eastAsia="仿宋" w:cs="仿宋"/>
          <w:i w:val="0"/>
          <w:caps w:val="0"/>
          <w:color w:val="333333"/>
          <w:spacing w:val="0"/>
          <w:sz w:val="32"/>
          <w:szCs w:val="32"/>
          <w:shd w:val="clear" w:color="070000" w:fill="FFFFFF"/>
        </w:rPr>
        <w:t>成立了</w:t>
      </w:r>
      <w:r>
        <w:rPr>
          <w:rFonts w:hint="eastAsia" w:ascii="仿宋" w:hAnsi="仿宋" w:eastAsia="仿宋" w:cs="仿宋"/>
          <w:i w:val="0"/>
          <w:caps w:val="0"/>
          <w:color w:val="333333"/>
          <w:spacing w:val="0"/>
          <w:sz w:val="32"/>
          <w:szCs w:val="32"/>
          <w:shd w:val="clear" w:color="070000" w:fill="FFFFFF"/>
          <w:lang w:eastAsia="zh-CN"/>
        </w:rPr>
        <w:t>乡长</w:t>
      </w:r>
      <w:r>
        <w:rPr>
          <w:rFonts w:hint="eastAsia" w:ascii="仿宋" w:hAnsi="仿宋" w:eastAsia="仿宋" w:cs="仿宋"/>
          <w:i w:val="0"/>
          <w:caps w:val="0"/>
          <w:color w:val="333333"/>
          <w:spacing w:val="0"/>
          <w:sz w:val="32"/>
          <w:szCs w:val="32"/>
          <w:shd w:val="clear" w:color="070000" w:fill="FFFFFF"/>
        </w:rPr>
        <w:t>任组长的绩效评价工作小组，对我</w:t>
      </w:r>
      <w:r>
        <w:rPr>
          <w:rFonts w:hint="eastAsia" w:ascii="仿宋" w:hAnsi="仿宋" w:eastAsia="仿宋" w:cs="仿宋"/>
          <w:i w:val="0"/>
          <w:caps w:val="0"/>
          <w:color w:val="333333"/>
          <w:spacing w:val="0"/>
          <w:sz w:val="32"/>
          <w:szCs w:val="32"/>
          <w:shd w:val="clear" w:color="070000" w:fill="FFFFFF"/>
          <w:lang w:eastAsia="zh-CN"/>
        </w:rPr>
        <w:t>乡</w:t>
      </w:r>
      <w:r>
        <w:rPr>
          <w:rFonts w:hint="eastAsia" w:ascii="仿宋" w:hAnsi="仿宋" w:eastAsia="仿宋" w:cs="仿宋"/>
          <w:i w:val="0"/>
          <w:caps w:val="0"/>
          <w:color w:val="333333"/>
          <w:spacing w:val="0"/>
          <w:sz w:val="32"/>
          <w:szCs w:val="32"/>
          <w:shd w:val="clear" w:color="070000" w:fill="FFFFFF"/>
        </w:rPr>
        <w:t>20</w:t>
      </w:r>
      <w:r>
        <w:rPr>
          <w:rFonts w:hint="eastAsia" w:ascii="仿宋" w:hAnsi="仿宋" w:eastAsia="仿宋" w:cs="仿宋"/>
          <w:i w:val="0"/>
          <w:caps w:val="0"/>
          <w:color w:val="333333"/>
          <w:spacing w:val="0"/>
          <w:sz w:val="32"/>
          <w:szCs w:val="32"/>
          <w:shd w:val="clear" w:color="070000" w:fill="FFFFFF"/>
          <w:lang w:val="en-US" w:eastAsia="zh-CN"/>
        </w:rPr>
        <w:t>21</w:t>
      </w:r>
      <w:r>
        <w:rPr>
          <w:rFonts w:hint="eastAsia" w:ascii="仿宋" w:hAnsi="仿宋" w:eastAsia="仿宋" w:cs="仿宋"/>
          <w:i w:val="0"/>
          <w:caps w:val="0"/>
          <w:color w:val="333333"/>
          <w:spacing w:val="0"/>
          <w:sz w:val="32"/>
          <w:szCs w:val="32"/>
          <w:shd w:val="clear" w:color="070000" w:fill="FFFFFF"/>
        </w:rPr>
        <w:t>年度部门预算整体支出绩效进行了全面综合评价。整体支出分基本支出和项目支出两部分，基本支出的评价重点是厉行节约保运转，降低行政运行成本；项目支出的评价重点是规范管理促发展，做到专款专用，提高资金使用效益。经全面综合评价，我</w:t>
      </w:r>
      <w:r>
        <w:rPr>
          <w:rFonts w:hint="eastAsia" w:ascii="仿宋" w:hAnsi="仿宋" w:eastAsia="仿宋" w:cs="仿宋"/>
          <w:i w:val="0"/>
          <w:caps w:val="0"/>
          <w:color w:val="333333"/>
          <w:spacing w:val="0"/>
          <w:sz w:val="32"/>
          <w:szCs w:val="32"/>
          <w:shd w:val="clear" w:color="070000" w:fill="FFFFFF"/>
          <w:lang w:eastAsia="zh-CN"/>
        </w:rPr>
        <w:t>乡</w:t>
      </w:r>
      <w:r>
        <w:rPr>
          <w:rFonts w:hint="eastAsia" w:ascii="仿宋" w:hAnsi="仿宋" w:eastAsia="仿宋" w:cs="仿宋"/>
          <w:i w:val="0"/>
          <w:caps w:val="0"/>
          <w:color w:val="333333"/>
          <w:spacing w:val="0"/>
          <w:sz w:val="32"/>
          <w:szCs w:val="32"/>
          <w:shd w:val="clear" w:color="070000" w:fill="FFFFFF"/>
          <w:lang w:val="en-US" w:eastAsia="zh-CN"/>
        </w:rPr>
        <w:t>2021</w:t>
      </w:r>
      <w:r>
        <w:rPr>
          <w:rFonts w:hint="eastAsia" w:ascii="仿宋" w:hAnsi="仿宋" w:eastAsia="仿宋" w:cs="仿宋"/>
          <w:i w:val="0"/>
          <w:caps w:val="0"/>
          <w:color w:val="333333"/>
          <w:spacing w:val="0"/>
          <w:sz w:val="32"/>
          <w:szCs w:val="32"/>
          <w:shd w:val="clear" w:color="070000" w:fill="FFFFFF"/>
        </w:rPr>
        <w:t>年度部门整体支出绩效自评分为9</w:t>
      </w:r>
      <w:r>
        <w:rPr>
          <w:rFonts w:hint="eastAsia" w:ascii="仿宋" w:hAnsi="仿宋" w:eastAsia="仿宋" w:cs="仿宋"/>
          <w:i w:val="0"/>
          <w:caps w:val="0"/>
          <w:color w:val="333333"/>
          <w:spacing w:val="0"/>
          <w:sz w:val="32"/>
          <w:szCs w:val="32"/>
          <w:shd w:val="clear" w:color="070000" w:fill="FFFFFF"/>
          <w:lang w:val="en-US" w:eastAsia="zh-CN"/>
        </w:rPr>
        <w:t>5</w:t>
      </w:r>
      <w:r>
        <w:rPr>
          <w:rFonts w:hint="eastAsia" w:ascii="仿宋" w:hAnsi="仿宋" w:eastAsia="仿宋" w:cs="仿宋"/>
          <w:i w:val="0"/>
          <w:caps w:val="0"/>
          <w:color w:val="333333"/>
          <w:spacing w:val="0"/>
          <w:sz w:val="32"/>
          <w:szCs w:val="32"/>
          <w:shd w:val="clear" w:color="070000" w:fill="FFFFFF"/>
        </w:rPr>
        <w:t>分。现将自评情况汇报如下：</w:t>
      </w:r>
    </w:p>
    <w:p>
      <w:pPr>
        <w:widowControl w:val="0"/>
        <w:wordWrap/>
        <w:adjustRightInd/>
        <w:snapToGrid/>
        <w:spacing w:line="574"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一、部门概况</w:t>
      </w:r>
    </w:p>
    <w:p>
      <w:pPr>
        <w:wordWrap/>
        <w:adjustRightInd/>
        <w:snapToGrid/>
        <w:spacing w:line="574" w:lineRule="exact"/>
        <w:ind w:firstLine="643" w:firstLineChars="2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（一）部门基本情况</w:t>
      </w:r>
    </w:p>
    <w:p>
      <w:pPr>
        <w:wordWrap/>
        <w:adjustRightInd/>
        <w:snapToGrid/>
        <w:spacing w:line="574"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1.人员设置</w:t>
      </w:r>
    </w:p>
    <w:p>
      <w:pPr>
        <w:wordWrap/>
        <w:adjustRightInd/>
        <w:snapToGrid/>
        <w:spacing w:line="574" w:lineRule="exact"/>
        <w:ind w:firstLine="640" w:firstLineChars="200"/>
        <w:textAlignment w:val="auto"/>
        <w:rPr>
          <w:rFonts w:hint="eastAsia" w:ascii="仿宋" w:hAnsi="仿宋" w:eastAsia="仿宋" w:cs="仿宋"/>
          <w:sz w:val="32"/>
          <w:szCs w:val="32"/>
          <w:lang w:val="zh-CN"/>
        </w:rPr>
      </w:pPr>
      <w:r>
        <w:rPr>
          <w:rFonts w:hint="eastAsia" w:ascii="仿宋" w:hAnsi="仿宋" w:eastAsia="仿宋" w:cs="仿宋"/>
          <w:sz w:val="32"/>
          <w:szCs w:val="32"/>
          <w:lang w:val="en-US" w:eastAsia="zh-CN"/>
        </w:rPr>
        <w:t>2021年</w:t>
      </w:r>
      <w:r>
        <w:rPr>
          <w:rFonts w:hint="eastAsia" w:ascii="仿宋" w:hAnsi="仿宋" w:eastAsia="仿宋" w:cs="仿宋"/>
          <w:sz w:val="32"/>
          <w:szCs w:val="32"/>
          <w:lang w:val="zh-CN"/>
        </w:rPr>
        <w:t>沙田乡财政供养实有在职</w:t>
      </w:r>
      <w:r>
        <w:rPr>
          <w:rFonts w:hint="eastAsia" w:ascii="仿宋" w:hAnsi="仿宋" w:eastAsia="仿宋" w:cs="仿宋"/>
          <w:sz w:val="32"/>
          <w:szCs w:val="32"/>
          <w:lang w:val="en-US" w:eastAsia="zh-CN"/>
        </w:rPr>
        <w:t>100</w:t>
      </w:r>
      <w:r>
        <w:rPr>
          <w:rFonts w:hint="eastAsia" w:ascii="仿宋" w:hAnsi="仿宋" w:eastAsia="仿宋" w:cs="仿宋"/>
          <w:sz w:val="32"/>
          <w:szCs w:val="32"/>
          <w:lang w:val="zh-CN"/>
        </w:rPr>
        <w:t>人，其中：行政人员</w:t>
      </w:r>
      <w:r>
        <w:rPr>
          <w:rFonts w:hint="eastAsia" w:ascii="仿宋" w:hAnsi="仿宋" w:eastAsia="仿宋" w:cs="仿宋"/>
          <w:sz w:val="32"/>
          <w:szCs w:val="32"/>
          <w:lang w:val="en-US" w:eastAsia="zh-CN"/>
        </w:rPr>
        <w:t>35</w:t>
      </w:r>
      <w:r>
        <w:rPr>
          <w:rFonts w:hint="eastAsia" w:ascii="仿宋" w:hAnsi="仿宋" w:eastAsia="仿宋" w:cs="仿宋"/>
          <w:sz w:val="32"/>
          <w:szCs w:val="32"/>
          <w:lang w:val="zh-CN"/>
        </w:rPr>
        <w:t>人、全额事业人员</w:t>
      </w:r>
      <w:r>
        <w:rPr>
          <w:rFonts w:hint="eastAsia" w:ascii="仿宋" w:hAnsi="仿宋" w:eastAsia="仿宋" w:cs="仿宋"/>
          <w:sz w:val="32"/>
          <w:szCs w:val="32"/>
          <w:lang w:val="en-US" w:eastAsia="zh-CN"/>
        </w:rPr>
        <w:t>35</w:t>
      </w:r>
      <w:r>
        <w:rPr>
          <w:rFonts w:hint="eastAsia" w:ascii="仿宋" w:hAnsi="仿宋" w:eastAsia="仿宋" w:cs="仿宋"/>
          <w:sz w:val="32"/>
          <w:szCs w:val="32"/>
          <w:lang w:val="zh-CN"/>
        </w:rPr>
        <w:t>人、差额事业人员</w:t>
      </w:r>
      <w:r>
        <w:rPr>
          <w:rFonts w:hint="eastAsia" w:ascii="仿宋" w:hAnsi="仿宋" w:eastAsia="仿宋" w:cs="仿宋"/>
          <w:sz w:val="32"/>
          <w:szCs w:val="32"/>
          <w:lang w:val="en-US" w:eastAsia="zh-CN"/>
        </w:rPr>
        <w:t>30</w:t>
      </w:r>
      <w:r>
        <w:rPr>
          <w:rFonts w:hint="eastAsia" w:ascii="仿宋" w:hAnsi="仿宋" w:eastAsia="仿宋" w:cs="仿宋"/>
          <w:sz w:val="32"/>
          <w:szCs w:val="32"/>
          <w:lang w:val="zh-CN"/>
        </w:rPr>
        <w:t>人。</w:t>
      </w:r>
    </w:p>
    <w:p>
      <w:pPr>
        <w:wordWrap/>
        <w:adjustRightInd/>
        <w:snapToGrid/>
        <w:spacing w:line="574" w:lineRule="exact"/>
        <w:ind w:firstLine="643" w:firstLineChars="200"/>
        <w:textAlignment w:val="auto"/>
        <w:rPr>
          <w:rFonts w:hint="eastAsia" w:ascii="仿宋" w:hAnsi="仿宋" w:eastAsia="仿宋" w:cs="仿宋"/>
          <w:b/>
          <w:bCs/>
          <w:sz w:val="32"/>
          <w:szCs w:val="32"/>
          <w:lang w:val="zh-CN"/>
        </w:rPr>
      </w:pPr>
      <w:r>
        <w:rPr>
          <w:rFonts w:hint="eastAsia" w:ascii="仿宋" w:hAnsi="仿宋" w:eastAsia="仿宋" w:cs="仿宋"/>
          <w:b/>
          <w:bCs/>
          <w:sz w:val="32"/>
          <w:szCs w:val="32"/>
          <w:lang w:val="en-US" w:eastAsia="zh-CN"/>
        </w:rPr>
        <w:t>2.</w:t>
      </w:r>
      <w:r>
        <w:rPr>
          <w:rFonts w:hint="eastAsia" w:ascii="仿宋" w:hAnsi="仿宋" w:eastAsia="仿宋" w:cs="仿宋"/>
          <w:b/>
          <w:bCs/>
          <w:sz w:val="32"/>
          <w:szCs w:val="32"/>
          <w:lang w:val="zh-CN"/>
        </w:rPr>
        <w:t>机构设置</w:t>
      </w:r>
    </w:p>
    <w:p>
      <w:pPr>
        <w:wordWrap/>
        <w:adjustRightInd/>
        <w:snapToGrid/>
        <w:spacing w:line="574" w:lineRule="exact"/>
        <w:ind w:firstLine="640" w:firstLineChars="200"/>
        <w:textAlignment w:val="auto"/>
        <w:rPr>
          <w:rFonts w:hint="eastAsia" w:ascii="仿宋" w:hAnsi="仿宋" w:eastAsia="仿宋" w:cs="仿宋"/>
          <w:sz w:val="32"/>
          <w:szCs w:val="32"/>
          <w:lang w:val="zh-CN"/>
        </w:rPr>
      </w:pPr>
      <w:r>
        <w:rPr>
          <w:rFonts w:hint="eastAsia" w:ascii="仿宋" w:hAnsi="仿宋" w:eastAsia="仿宋" w:cs="仿宋"/>
          <w:sz w:val="32"/>
          <w:szCs w:val="32"/>
          <w:lang w:val="zh-CN"/>
        </w:rPr>
        <w:t>202</w:t>
      </w:r>
      <w:r>
        <w:rPr>
          <w:rFonts w:hint="eastAsia" w:ascii="仿宋" w:hAnsi="仿宋" w:eastAsia="仿宋" w:cs="仿宋"/>
          <w:sz w:val="32"/>
          <w:szCs w:val="32"/>
          <w:lang w:val="en-US" w:eastAsia="zh-CN"/>
        </w:rPr>
        <w:t>1</w:t>
      </w:r>
      <w:r>
        <w:rPr>
          <w:rFonts w:hint="eastAsia" w:ascii="仿宋" w:hAnsi="仿宋" w:eastAsia="仿宋" w:cs="仿宋"/>
          <w:sz w:val="32"/>
          <w:szCs w:val="32"/>
          <w:lang w:val="zh-CN"/>
        </w:rPr>
        <w:t>年沙田乡共辖6个村、202个居民小组，乡总人口3.6万，现有村干部42人。乡政府工作机构分设机关、一所三中心及一队，即政府机关、司法所、社会事务综合服务中心、农业综合服务中心、政务服务中心、综合行政执法队，另有何叔衡故居管理处。</w:t>
      </w:r>
    </w:p>
    <w:p>
      <w:pPr>
        <w:wordWrap/>
        <w:adjustRightInd/>
        <w:snapToGrid/>
        <w:spacing w:line="574" w:lineRule="exact"/>
        <w:ind w:firstLine="643" w:firstLineChars="200"/>
        <w:textAlignment w:val="auto"/>
        <w:rPr>
          <w:rFonts w:hint="eastAsia" w:ascii="仿宋" w:hAnsi="仿宋" w:eastAsia="仿宋" w:cs="仿宋"/>
          <w:b/>
          <w:bCs/>
          <w:sz w:val="32"/>
          <w:szCs w:val="32"/>
          <w:lang w:val="zh-CN"/>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lang w:val="zh-CN"/>
        </w:rPr>
        <w:t>职能职责</w:t>
      </w:r>
    </w:p>
    <w:p>
      <w:pPr>
        <w:wordWrap/>
        <w:adjustRightInd/>
        <w:snapToGrid/>
        <w:spacing w:line="574" w:lineRule="exact"/>
        <w:ind w:firstLine="640" w:firstLineChars="200"/>
        <w:textAlignment w:val="auto"/>
        <w:rPr>
          <w:rFonts w:hint="eastAsia" w:ascii="仿宋" w:hAnsi="仿宋" w:eastAsia="仿宋" w:cs="仿宋"/>
          <w:sz w:val="32"/>
          <w:szCs w:val="32"/>
          <w:lang w:val="zh-CN"/>
        </w:rPr>
      </w:pPr>
      <w:r>
        <w:rPr>
          <w:rFonts w:hint="eastAsia" w:ascii="仿宋" w:hAnsi="仿宋" w:eastAsia="仿宋" w:cs="仿宋"/>
          <w:sz w:val="32"/>
          <w:szCs w:val="32"/>
          <w:lang w:val="zh-CN" w:eastAsia="zh-CN"/>
        </w:rPr>
        <w:t>沙田乡</w:t>
      </w:r>
      <w:r>
        <w:rPr>
          <w:rFonts w:hint="eastAsia" w:ascii="仿宋" w:hAnsi="仿宋" w:eastAsia="仿宋" w:cs="仿宋"/>
          <w:sz w:val="32"/>
          <w:szCs w:val="32"/>
          <w:lang w:val="zh-CN"/>
        </w:rPr>
        <w:t>人民政府是基层政府机关，工作职责是落实国家政策，严格依法行政，发挥经济管理职能，加强政策引导，制定发展规划，服务市场主体和营造发展</w:t>
      </w:r>
      <w:r>
        <w:rPr>
          <w:rFonts w:hint="eastAsia" w:ascii="仿宋" w:hAnsi="仿宋" w:eastAsia="仿宋" w:cs="仿宋"/>
          <w:sz w:val="32"/>
          <w:szCs w:val="32"/>
          <w:lang w:val="zh-CN" w:eastAsia="zh-CN"/>
        </w:rPr>
        <w:t>环境</w:t>
      </w:r>
      <w:r>
        <w:rPr>
          <w:rFonts w:hint="eastAsia" w:ascii="仿宋" w:hAnsi="仿宋" w:eastAsia="仿宋" w:cs="仿宋"/>
          <w:sz w:val="32"/>
          <w:szCs w:val="32"/>
          <w:lang w:val="zh-CN"/>
        </w:rPr>
        <w:t>，搞好市场监管，大力促进社会事业发展，发展镇村经济，文化和社会事业，提供公共服务，维护社会稳定，构建社会主义和谐社会。</w:t>
      </w:r>
    </w:p>
    <w:p>
      <w:pPr>
        <w:wordWrap/>
        <w:adjustRightInd/>
        <w:snapToGrid/>
        <w:spacing w:line="574" w:lineRule="exact"/>
        <w:ind w:firstLine="640" w:firstLineChars="200"/>
        <w:textAlignment w:val="auto"/>
        <w:rPr>
          <w:rFonts w:hint="eastAsia" w:ascii="仿宋" w:hAnsi="仿宋" w:eastAsia="仿宋" w:cs="仿宋"/>
          <w:sz w:val="32"/>
          <w:szCs w:val="32"/>
          <w:lang w:val="zh-CN"/>
        </w:rPr>
      </w:pPr>
      <w:r>
        <w:rPr>
          <w:rFonts w:hint="eastAsia" w:ascii="仿宋" w:hAnsi="仿宋" w:eastAsia="仿宋" w:cs="仿宋"/>
          <w:sz w:val="32"/>
          <w:szCs w:val="32"/>
          <w:lang w:val="zh-CN"/>
        </w:rPr>
        <w:t>社会事业综合服务中心（挂网格化综合服务中心牌子）：主要负责劳动保障就业、最低生活保障、劳动争议调解、社会保险、农村养老保险和医疗保险等服务性工作；承担文化宣传、广播影视、文艺演出、群众体育、科技推广、科普培训等公益服务职责；负责网格化综合管理的事务性、辅助性工作，为网格化管理的巡查、指挥、调度、督办等工作提供技术支撑。</w:t>
      </w:r>
    </w:p>
    <w:p>
      <w:pPr>
        <w:wordWrap/>
        <w:adjustRightInd/>
        <w:snapToGrid/>
        <w:spacing w:line="574" w:lineRule="exact"/>
        <w:ind w:firstLine="640" w:firstLineChars="200"/>
        <w:textAlignment w:val="auto"/>
        <w:rPr>
          <w:rFonts w:hint="eastAsia" w:ascii="仿宋" w:hAnsi="仿宋" w:eastAsia="仿宋" w:cs="仿宋"/>
          <w:sz w:val="32"/>
          <w:szCs w:val="32"/>
          <w:lang w:val="zh-CN"/>
        </w:rPr>
      </w:pPr>
      <w:r>
        <w:rPr>
          <w:rFonts w:hint="eastAsia" w:ascii="仿宋" w:hAnsi="仿宋" w:eastAsia="仿宋" w:cs="仿宋"/>
          <w:sz w:val="32"/>
          <w:szCs w:val="32"/>
          <w:lang w:val="zh-CN"/>
        </w:rPr>
        <w:t>农业综合服务中心：主要负责组织指导农业产业发展、精准扶贫、移民开发管理、农业机械管理、畜牧水产发展、烟叶生产等农业农村工作；负责农业、林业、水利、农业机械、畜牧兽医等基层农业技术推广，动植物疫病防控防治、护林防火、防汛抗旱、农田水利建设、农产品质量安全监测等服务性、技术性工作。</w:t>
      </w:r>
    </w:p>
    <w:p>
      <w:pPr>
        <w:wordWrap/>
        <w:adjustRightInd/>
        <w:snapToGrid/>
        <w:spacing w:line="574" w:lineRule="exact"/>
        <w:ind w:firstLine="640" w:firstLineChars="200"/>
        <w:textAlignment w:val="auto"/>
        <w:rPr>
          <w:rFonts w:hint="eastAsia" w:ascii="仿宋" w:hAnsi="仿宋" w:eastAsia="仿宋" w:cs="仿宋"/>
          <w:sz w:val="32"/>
          <w:szCs w:val="32"/>
          <w:lang w:val="zh-CN"/>
        </w:rPr>
      </w:pPr>
      <w:r>
        <w:rPr>
          <w:rFonts w:hint="eastAsia" w:ascii="仿宋" w:hAnsi="仿宋" w:eastAsia="仿宋" w:cs="仿宋"/>
          <w:sz w:val="32"/>
          <w:szCs w:val="32"/>
          <w:lang w:val="zh-CN"/>
        </w:rPr>
        <w:t>政务服务中心（挂党群服务中心牌子）：主要负责行政审批服务事项的组织实施；负责接听12345热线并督办相关问题；负责优化营商环境事务协调，办理与群众、企业密切相关政务服务事项。集中受理和办理涉及经济发展、公共管理以及与群众利益密切相关的行政许可（审批）、公共服务、便民服务事项；负责对各便民服务窗口和窗口工作人员进行管理考核；负责代办各类外来投资项目及与群众密切相关的服务事项。</w:t>
      </w:r>
    </w:p>
    <w:p>
      <w:pPr>
        <w:wordWrap/>
        <w:adjustRightInd/>
        <w:snapToGrid/>
        <w:spacing w:line="574"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zh-CN"/>
        </w:rPr>
        <w:t>综合行政执法队</w:t>
      </w:r>
      <w:r>
        <w:rPr>
          <w:rFonts w:hint="eastAsia" w:ascii="仿宋" w:hAnsi="仿宋" w:eastAsia="仿宋" w:cs="仿宋"/>
          <w:sz w:val="32"/>
          <w:szCs w:val="32"/>
          <w:lang w:val="zh-CN" w:eastAsia="zh-CN"/>
        </w:rPr>
        <w:t>：</w:t>
      </w:r>
      <w:r>
        <w:rPr>
          <w:rFonts w:hint="eastAsia" w:ascii="仿宋" w:hAnsi="仿宋" w:eastAsia="仿宋" w:cs="仿宋"/>
          <w:sz w:val="32"/>
          <w:szCs w:val="32"/>
          <w:lang w:val="zh-CN"/>
        </w:rPr>
        <w:t>负责统筹协调派驻机构和本级执法力量，在辖区内开展联合执法工作。依法依规相对集中行使或会同派驻机构行使在辖区范围内的农业、文化旅游、生态环境保护、城镇管理、市场监管、交通运输等方面的行政执法权。</w:t>
      </w:r>
    </w:p>
    <w:p>
      <w:pPr>
        <w:widowControl w:val="0"/>
        <w:wordWrap/>
        <w:adjustRightInd/>
        <w:snapToGrid/>
        <w:spacing w:line="574" w:lineRule="exact"/>
        <w:ind w:firstLine="643" w:firstLineChars="2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（二）部门整体支出规模、使用方向和主要内容、涉及范围等。</w:t>
      </w:r>
    </w:p>
    <w:p>
      <w:pPr>
        <w:wordWrap/>
        <w:adjustRightInd/>
        <w:snapToGrid/>
        <w:spacing w:line="574"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2021年财政总支出为6897.83万元，其中：</w:t>
      </w:r>
      <w:r>
        <w:rPr>
          <w:rFonts w:hint="eastAsia" w:ascii="仿宋" w:hAnsi="仿宋" w:eastAsia="仿宋" w:cs="仿宋"/>
          <w:sz w:val="32"/>
          <w:szCs w:val="32"/>
          <w:lang w:val="zh-CN" w:eastAsia="zh-CN"/>
        </w:rPr>
        <w:t>一般公共财政预算支出</w:t>
      </w:r>
      <w:r>
        <w:rPr>
          <w:rFonts w:hint="eastAsia" w:ascii="仿宋" w:hAnsi="仿宋" w:eastAsia="仿宋" w:cs="仿宋"/>
          <w:sz w:val="32"/>
          <w:szCs w:val="32"/>
          <w:lang w:val="en-US" w:eastAsia="zh-CN"/>
        </w:rPr>
        <w:t>4166.68</w:t>
      </w:r>
      <w:r>
        <w:rPr>
          <w:rFonts w:hint="eastAsia" w:ascii="仿宋" w:hAnsi="仿宋" w:eastAsia="仿宋" w:cs="仿宋"/>
          <w:sz w:val="32"/>
          <w:szCs w:val="32"/>
          <w:lang w:val="zh-CN" w:eastAsia="zh-CN"/>
        </w:rPr>
        <w:t>万元</w:t>
      </w:r>
      <w:r>
        <w:rPr>
          <w:rFonts w:hint="eastAsia" w:ascii="仿宋" w:hAnsi="仿宋" w:eastAsia="仿宋" w:cs="仿宋"/>
          <w:sz w:val="32"/>
          <w:szCs w:val="32"/>
          <w:lang w:val="en-US" w:eastAsia="zh-CN"/>
        </w:rPr>
        <w:t>,政府性基金预算支出240.16万元，国有资本经营预算支出0.06万元，其他资金支出2490.92万元。</w:t>
      </w:r>
    </w:p>
    <w:p>
      <w:pPr>
        <w:wordWrap/>
        <w:adjustRightInd/>
        <w:snapToGrid/>
        <w:spacing w:line="574"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财政支出执行情况按功能科目如下：一般公共服务支出2801.88万元；国防支出7.00万元；公共安全支出15.10万元；教育支出162.23万元；文化体育与传媒支出57.20万元；社会保障和就业支出406.58万元；卫生健康支出67.39万元；节能环保支出164.40万元；城乡社区事务支出402.16万元；农林水支出2178.19万元；交通运输支出164.82万元；商业服务业等支出10.00万元；住房保障支出323.63万元；粮油物资储备支出2.35万元；国有资本经营预算支出0.06万元；灾害防治及应急管理支出32.50万元；其他支出102.35万元。</w:t>
      </w:r>
    </w:p>
    <w:p>
      <w:pPr>
        <w:widowControl w:val="0"/>
        <w:wordWrap/>
        <w:adjustRightInd/>
        <w:snapToGrid/>
        <w:spacing w:line="574"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二、部门整体支出管理及使用情况</w:t>
      </w:r>
    </w:p>
    <w:p>
      <w:pPr>
        <w:widowControl w:val="0"/>
        <w:wordWrap/>
        <w:adjustRightInd/>
        <w:snapToGrid/>
        <w:spacing w:line="574" w:lineRule="exact"/>
        <w:ind w:firstLine="643" w:firstLineChars="2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（一）基本支出</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基本支出：是指为保障单位机构正常运转、完成日常工作任务而发生的各项支出，包括用于基本工资、津贴补贴等人员经费以及办公费、印刷费、水电费、办公设备购置等日常公用经费。2021年基本支出1932.97万元，包括人员经费1682.82万元，公用经费250.15万元。人员经费主要用于干职工工资福利支出以及对个人和家庭补助支出。公用经费用于办公、会议、印刷、培训以及三公经费开支。</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“三公”经费支出情况：</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2020年因公出国费0元，与上年一致；公务接待费28.49万，共计接待1150批次，约7200人次。</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公务用车运行维护费2.85万，比上年度减少0.06万元。我单位实有公车2辆。</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会议费支出情况：2021年支付会议费2.2万元，与上年度持平。</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培训费支出情况：2021年支付培训费1.10万元，比上年度减少0.02万元。</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right="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我单位进一步完善了《沙田乡财务管理制度》，明确了对各项收支管理制度。公务用餐活动费、会议费、培训费等按照宁乡市最新相关规定文件执行。</w:t>
      </w:r>
    </w:p>
    <w:p>
      <w:pPr>
        <w:widowControl w:val="0"/>
        <w:wordWrap/>
        <w:adjustRightInd/>
        <w:snapToGrid/>
        <w:spacing w:line="574" w:lineRule="exact"/>
        <w:ind w:firstLine="643" w:firstLineChars="2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（二）项目支出</w:t>
      </w:r>
    </w:p>
    <w:p>
      <w:pPr>
        <w:widowControl w:val="0"/>
        <w:wordWrap/>
        <w:adjustRightInd/>
        <w:snapToGrid/>
        <w:spacing w:line="574"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1.项目资金（包括财政资金、自筹资金等）安排落实、总投入等情况分析。</w:t>
      </w:r>
    </w:p>
    <w:p>
      <w:pPr>
        <w:widowControl w:val="0"/>
        <w:wordWrap/>
        <w:adjustRightInd/>
        <w:snapToGrid/>
        <w:spacing w:line="574"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支出是指乡镇各部门为履行工作职能，完成工作任务，需要发生的经常事务性的项目支出和完成特定工作任务或事业发展目标而发生的项目支出(包括通过发改部门立项安排的项目支出)。2021年全年项目资金共计支出4964.87万元，其中基本建设类项目支出319.77万元。2021年项目支出主要用于农业农村、脱贫攻坚衔接乡村振兴、保障性安居工程、红色文化村庄建设等项目。</w:t>
      </w:r>
    </w:p>
    <w:p>
      <w:pPr>
        <w:widowControl w:val="0"/>
        <w:wordWrap/>
        <w:adjustRightInd/>
        <w:snapToGrid/>
        <w:spacing w:line="574"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2.项目资金（主要指财政资金）实际使用情况分析。</w:t>
      </w:r>
    </w:p>
    <w:p>
      <w:pPr>
        <w:widowControl w:val="0"/>
        <w:wordWrap/>
        <w:adjustRightInd/>
        <w:snapToGrid/>
        <w:spacing w:line="574"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一般公共预算财政拨款项目支出2578.13万元。绩效总目标和阶段性目标都已按照计划完成，未逾期。所有开支均按照我单位财务管理制度执行，资金的使用严格把关。</w:t>
      </w:r>
    </w:p>
    <w:p>
      <w:pPr>
        <w:widowControl w:val="0"/>
        <w:wordWrap/>
        <w:adjustRightInd/>
        <w:snapToGrid/>
        <w:spacing w:line="574"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3.项目资金管理情况分析，主要包括管理制度、办法的制订及执行情况。</w:t>
      </w:r>
    </w:p>
    <w:p>
      <w:pPr>
        <w:pStyle w:val="4"/>
        <w:widowControl/>
        <w:numPr>
          <w:numId w:val="0"/>
        </w:numPr>
        <w:pBdr>
          <w:top w:val="none" w:color="auto" w:sz="0" w:space="0"/>
          <w:left w:val="none" w:color="auto" w:sz="0" w:space="0"/>
          <w:bottom w:val="none" w:color="auto" w:sz="0" w:space="0"/>
          <w:right w:val="none" w:color="auto" w:sz="0" w:space="0"/>
        </w:pBdr>
        <w:shd w:val="clear" w:color="080000" w:fill="FFFFFF"/>
        <w:wordWrap/>
        <w:adjustRightInd/>
        <w:snapToGrid/>
        <w:spacing w:before="0" w:beforeAutospacing="0" w:after="0" w:afterAutospacing="0" w:line="574" w:lineRule="exact"/>
        <w:ind w:right="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我乡项目资金全部按财政国库集中支付制度要求使用和拨付，通过财政直接支付方式拨给项目实施单位。在拨付过程中严把监督审核关，建立健全内部审批制度，财务做好项目专帐，严格实行专款专用，保证资金及时足额用到项目中。</w:t>
      </w:r>
    </w:p>
    <w:p>
      <w:pPr>
        <w:widowControl w:val="0"/>
        <w:wordWrap/>
        <w:adjustRightInd/>
        <w:snapToGrid/>
        <w:spacing w:line="574"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三、部门项目组织实施情况</w:t>
      </w:r>
    </w:p>
    <w:p>
      <w:pPr>
        <w:widowControl/>
        <w:wordWrap/>
        <w:adjustRightInd/>
        <w:snapToGrid/>
        <w:spacing w:line="574" w:lineRule="exact"/>
        <w:ind w:firstLine="641"/>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（一）项目组织情况分析，主要包括项目招投标、调整、竣工验收等情况。</w:t>
      </w:r>
    </w:p>
    <w:p>
      <w:pPr>
        <w:widowControl/>
        <w:wordWrap/>
        <w:adjustRightInd/>
        <w:snapToGrid/>
        <w:spacing w:line="574" w:lineRule="exact"/>
        <w:ind w:firstLine="641"/>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全乡政府投资项目未达到法定招标规模，2021年全乡没有公开招标项目，所有30万元以上的货物和服务采购项目和50万元以上的工程项目均按照宁乡市政府采购的相关要求实施采购。</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我乡规定：项目工程在完成方案设计、初步预算、合同签订后统一由经济发展办组织实施，各线办不得自行确定施工队伍。招投标工程必须完成立项、规划、建设、国土等行政审批手续取得施工许可证后才能动工。项目管理严格执行项目法人责任制、招标投标制、建设监理制、合同管理制。任何单位和个人不得随意变更设计文件、施工图等。工程变更由负责项目的专业技术人员提出，经经发办分管领导组织实地查看后按相关程序予以实施。</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我乡规定：施工单位完成所承包项目工程所有工作后，进行自检，自检合格后，以书面形式向监理部门、建设方工程部申请进行竣工验收。监理方和工程部在收到申请报告后，由经发办委派建设方项目经理汇同监理方各专业人员进行初检，初检合格后将验收结果报经发办，否则，责令返工。经发办在收到验收报告后，向经发办分管领导报告，在征得领导同意批示后，会同乡纪委、财政所、监理单位进行统一验收，签署验收文件。施工单位在收到验收文件后，在监理单位统一组织下编制工程竣工备案文件。</w:t>
      </w:r>
    </w:p>
    <w:p>
      <w:pPr>
        <w:widowControl w:val="0"/>
        <w:wordWrap/>
        <w:adjustRightInd/>
        <w:snapToGrid/>
        <w:spacing w:line="574"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（二）项目管理情况分析，主要包括项目管理制度建设、日常检查监督管理等情况。</w:t>
      </w:r>
    </w:p>
    <w:p>
      <w:pPr>
        <w:widowControl w:val="0"/>
        <w:wordWrap/>
        <w:adjustRightInd/>
        <w:snapToGrid/>
        <w:spacing w:line="574"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我乡项目实施和资金使用分配坚持乡党委会议集体决策。项目管理严格按照《沙田乡人民政府投资项目管理办法》实施，成立沙田乡政府投资项目领导小组，由乡党委书记任顾问，乡人民政府乡长任组长，分管领导任常务副组长，纪检、财贸、国土、规划分管领导任副组长，经济发展办、纪委、财政所、自然资源所为成员单位，领导小组办公室设经济发展办，负责政府投资项目日常管理、稽察等工作，由经发办主任担任办公室主任。从项目计划、审批、工程概算及预算、合约制度、施工管理、项目验收、项目结算等七个方面对项目实施进行详细的规定。具体实施金额的要求严格按照宁乡市委办、市人民政府关于进一步加强政府投资建设项目管理的通知执行。</w:t>
      </w:r>
    </w:p>
    <w:p>
      <w:pPr>
        <w:widowControl w:val="0"/>
        <w:wordWrap/>
        <w:adjustRightInd/>
        <w:snapToGrid/>
        <w:spacing w:line="574"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四、资产管理情况</w:t>
      </w:r>
    </w:p>
    <w:p>
      <w:pPr>
        <w:widowControl w:val="0"/>
        <w:wordWrap/>
        <w:adjustRightInd/>
        <w:snapToGrid/>
        <w:spacing w:line="574"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我乡固定资产的管理和使用坚持“统一政策、统一领导、分级管理、责任到人、物尽其用”的原则。乡财政所安排专人负责固定资产台账登记管理，加强资产管理信息系统建设，及时登记资产变动情况，按时上报资产信息数据。2021年初固定资产净值623.93万元，全年新增16.77万元，主要是2021年度购置了一批空调、办公电器、办公家具等设备。2021年固定资产期末余额640.70万元。所有资产的构建、购入、出租、报废等严格按照《宁乡市行政事业单位固定资产管理暂行办法》的规定，经乡领导审核同意后，报市乡镇财政监管中心以及国有资产管理中心审批后执行。</w:t>
      </w:r>
    </w:p>
    <w:p>
      <w:pPr>
        <w:widowControl w:val="0"/>
        <w:wordWrap/>
        <w:adjustRightInd/>
        <w:snapToGrid/>
        <w:spacing w:line="574"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五、部门整体支出绩效情况</w:t>
      </w:r>
    </w:p>
    <w:p>
      <w:pPr>
        <w:widowControl w:val="0"/>
        <w:wordWrap/>
        <w:adjustRightInd/>
        <w:snapToGrid/>
        <w:spacing w:line="574" w:lineRule="exact"/>
        <w:ind w:firstLine="643" w:firstLineChars="200"/>
        <w:textAlignment w:val="auto"/>
        <w:rPr>
          <w:rFonts w:hint="eastAsia" w:ascii="楷体" w:hAnsi="楷体" w:eastAsia="楷体" w:cs="楷体"/>
          <w:b/>
          <w:bCs/>
          <w:kern w:val="2"/>
          <w:sz w:val="32"/>
          <w:szCs w:val="32"/>
          <w:lang w:eastAsia="zh-CN" w:bidi="ar-SA"/>
        </w:rPr>
      </w:pPr>
      <w:r>
        <w:rPr>
          <w:rFonts w:hint="eastAsia" w:ascii="楷体" w:hAnsi="楷体" w:eastAsia="楷体" w:cs="楷体"/>
          <w:b/>
          <w:bCs/>
          <w:kern w:val="2"/>
          <w:sz w:val="32"/>
          <w:szCs w:val="32"/>
          <w:lang w:eastAsia="zh-CN" w:bidi="ar-SA"/>
        </w:rPr>
        <w:t>1.经济性分析</w:t>
      </w:r>
    </w:p>
    <w:p>
      <w:pPr>
        <w:widowControl w:val="0"/>
        <w:wordWrap/>
        <w:adjustRightInd/>
        <w:snapToGrid/>
        <w:spacing w:line="574" w:lineRule="exact"/>
        <w:ind w:firstLine="643"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（1）成本（预算）控制情况。</w:t>
      </w:r>
    </w:p>
    <w:p>
      <w:pPr>
        <w:widowControl w:val="0"/>
        <w:wordWrap/>
        <w:adjustRightInd/>
        <w:snapToGrid/>
        <w:spacing w:line="574" w:lineRule="exact"/>
        <w:ind w:firstLine="640" w:firstLineChars="200"/>
        <w:textAlignment w:val="auto"/>
        <w:rPr>
          <w:rFonts w:hint="eastAsia" w:ascii="仿宋" w:hAnsi="仿宋" w:eastAsia="仿宋" w:cs="仿宋"/>
          <w:kern w:val="2"/>
          <w:sz w:val="32"/>
          <w:szCs w:val="32"/>
          <w:lang w:eastAsia="zh-CN" w:bidi="ar-SA"/>
        </w:rPr>
      </w:pPr>
      <w:r>
        <w:rPr>
          <w:rFonts w:hint="eastAsia" w:ascii="仿宋" w:hAnsi="仿宋" w:eastAsia="仿宋" w:cs="仿宋"/>
          <w:kern w:val="2"/>
          <w:sz w:val="32"/>
          <w:szCs w:val="32"/>
          <w:lang w:eastAsia="zh-CN" w:bidi="ar-SA"/>
        </w:rPr>
        <w:t>沙田乡不断加强成本控制和成本规划，建立严格的费用审批制度，严格执行招投标和政府采购制度，不断提升项目管理水平，提高资金使用效益。无截留、挤占、挪用、虚列支出等情况。部门整体支出成本在预算以内。</w:t>
      </w:r>
    </w:p>
    <w:p>
      <w:pPr>
        <w:widowControl w:val="0"/>
        <w:wordWrap/>
        <w:adjustRightInd/>
        <w:snapToGrid/>
        <w:spacing w:line="574"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（2）成本（预算）节约情况。</w:t>
      </w:r>
    </w:p>
    <w:p>
      <w:pPr>
        <w:widowControl w:val="0"/>
        <w:wordWrap/>
        <w:adjustRightInd/>
        <w:snapToGrid/>
        <w:spacing w:line="574"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沙田乡全年收入、支出进行了科学规划预算，项目安排合理，没有超出设计标准，没有重复建设，依据现有资金结合实际实现功能最大化。相对节约了项目成本。</w:t>
      </w:r>
    </w:p>
    <w:p>
      <w:pPr>
        <w:widowControl w:val="0"/>
        <w:wordWrap/>
        <w:adjustRightInd/>
        <w:snapToGrid/>
        <w:spacing w:line="574" w:lineRule="exact"/>
        <w:ind w:firstLine="643" w:firstLineChars="200"/>
        <w:textAlignment w:val="auto"/>
        <w:rPr>
          <w:rFonts w:hint="eastAsia" w:ascii="楷体" w:hAnsi="楷体" w:eastAsia="楷体" w:cs="楷体"/>
          <w:b/>
          <w:bCs/>
          <w:kern w:val="2"/>
          <w:sz w:val="32"/>
          <w:szCs w:val="32"/>
          <w:lang w:eastAsia="zh-CN" w:bidi="ar-SA"/>
        </w:rPr>
      </w:pPr>
      <w:r>
        <w:rPr>
          <w:rFonts w:hint="eastAsia" w:ascii="楷体" w:hAnsi="楷体" w:eastAsia="楷体" w:cs="楷体"/>
          <w:b/>
          <w:bCs/>
          <w:kern w:val="2"/>
          <w:sz w:val="32"/>
          <w:szCs w:val="32"/>
          <w:lang w:eastAsia="zh-CN" w:bidi="ar-SA"/>
        </w:rPr>
        <w:t>2.效率性分析</w:t>
      </w:r>
    </w:p>
    <w:p>
      <w:pPr>
        <w:widowControl w:val="0"/>
        <w:wordWrap/>
        <w:adjustRightInd/>
        <w:snapToGrid/>
        <w:spacing w:line="574"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（1）预算执行实施进度。</w:t>
      </w:r>
    </w:p>
    <w:p>
      <w:pPr>
        <w:widowControl w:val="0"/>
        <w:wordWrap/>
        <w:adjustRightInd/>
        <w:snapToGrid/>
        <w:spacing w:line="574"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预算严格按进度执行及实施，一般公共预算资金执行率91.8%。</w:t>
      </w:r>
    </w:p>
    <w:p>
      <w:pPr>
        <w:widowControl w:val="0"/>
        <w:wordWrap/>
        <w:adjustRightInd/>
        <w:snapToGrid/>
        <w:spacing w:line="574"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（2）项目完成质量。</w:t>
      </w:r>
    </w:p>
    <w:p>
      <w:pPr>
        <w:widowControl w:val="0"/>
        <w:wordWrap/>
        <w:adjustRightInd/>
        <w:snapToGrid/>
        <w:spacing w:line="574"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沙田乡所有</w:t>
      </w:r>
      <w:r>
        <w:rPr>
          <w:rFonts w:hint="eastAsia" w:ascii="仿宋" w:hAnsi="仿宋" w:eastAsia="仿宋" w:cs="仿宋"/>
          <w:kern w:val="2"/>
          <w:sz w:val="32"/>
          <w:szCs w:val="32"/>
          <w:lang w:eastAsia="zh-CN" w:bidi="ar-SA"/>
        </w:rPr>
        <w:t>项目</w:t>
      </w:r>
      <w:r>
        <w:rPr>
          <w:rFonts w:hint="eastAsia" w:ascii="仿宋" w:hAnsi="仿宋" w:eastAsia="仿宋" w:cs="仿宋"/>
          <w:kern w:val="2"/>
          <w:sz w:val="32"/>
          <w:szCs w:val="32"/>
          <w:lang w:val="en-US" w:eastAsia="zh-CN" w:bidi="ar-SA"/>
        </w:rPr>
        <w:t>，都有质量监督管理人员检测，实施过程监督管理，完工后组织各方面力量进行验收，质量良好。</w:t>
      </w:r>
    </w:p>
    <w:p>
      <w:pPr>
        <w:widowControl w:val="0"/>
        <w:wordWrap/>
        <w:adjustRightInd/>
        <w:snapToGrid/>
        <w:spacing w:line="574" w:lineRule="exact"/>
        <w:ind w:firstLine="643" w:firstLineChars="200"/>
        <w:textAlignment w:val="auto"/>
        <w:rPr>
          <w:rFonts w:hint="eastAsia" w:ascii="楷体" w:hAnsi="楷体" w:eastAsia="楷体" w:cs="楷体"/>
          <w:b/>
          <w:bCs/>
          <w:kern w:val="2"/>
          <w:sz w:val="32"/>
          <w:szCs w:val="32"/>
          <w:lang w:eastAsia="zh-CN" w:bidi="ar-SA"/>
        </w:rPr>
      </w:pPr>
      <w:r>
        <w:rPr>
          <w:rFonts w:hint="eastAsia" w:ascii="楷体" w:hAnsi="楷体" w:eastAsia="楷体" w:cs="楷体"/>
          <w:b/>
          <w:bCs/>
          <w:kern w:val="2"/>
          <w:sz w:val="32"/>
          <w:szCs w:val="32"/>
          <w:lang w:eastAsia="zh-CN" w:bidi="ar-SA"/>
        </w:rPr>
        <w:t>3.有效性分析</w:t>
      </w:r>
    </w:p>
    <w:p>
      <w:pPr>
        <w:widowControl w:val="0"/>
        <w:wordWrap/>
        <w:adjustRightInd/>
        <w:snapToGrid/>
        <w:spacing w:line="574"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（1）预期目标完成程度。</w:t>
      </w:r>
    </w:p>
    <w:p>
      <w:pPr>
        <w:widowControl w:val="0"/>
        <w:wordWrap/>
        <w:adjustRightInd/>
        <w:snapToGrid/>
        <w:spacing w:line="574"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宁乡市沙田乡部门整体支出已达到项目预期目标。</w:t>
      </w:r>
    </w:p>
    <w:p>
      <w:pPr>
        <w:widowControl w:val="0"/>
        <w:wordWrap/>
        <w:adjustRightInd/>
        <w:snapToGrid/>
        <w:spacing w:line="574"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（2）对经济和社会的影响。</w:t>
      </w:r>
    </w:p>
    <w:p>
      <w:pPr>
        <w:widowControl w:val="0"/>
        <w:wordWrap/>
        <w:adjustRightInd/>
        <w:snapToGrid/>
        <w:spacing w:line="574"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部门整体支出安排兼顾了当前与长远利益，突出了“三保”功能，重点支出安排保障了民生支出和当前中心工作的需要。整体来说统筹推进了疫情防控和经济社会发展，扎实做好了“六稳”工作、全面落实了“六保”任务，攻坚克难、砥砺奋进，夺取了较为优异的成绩，对全乡经济社会影响大。</w:t>
      </w:r>
    </w:p>
    <w:p>
      <w:pPr>
        <w:widowControl w:val="0"/>
        <w:wordWrap/>
        <w:adjustRightInd/>
        <w:snapToGrid/>
        <w:spacing w:line="574" w:lineRule="exact"/>
        <w:ind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4.可持续性分析</w:t>
      </w:r>
    </w:p>
    <w:p>
      <w:pPr>
        <w:widowControl w:val="0"/>
        <w:wordWrap/>
        <w:adjustRightInd/>
        <w:snapToGrid/>
        <w:spacing w:line="574"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支出完成后，后续政策具有一致性，资金安排有连贯性，人员机构安排具有稳定性，在后续管理措施方面，将通过严格执行各项管理制度，改革不足方面，保证工作有序推进。</w:t>
      </w:r>
    </w:p>
    <w:p>
      <w:pPr>
        <w:widowControl w:val="0"/>
        <w:wordWrap/>
        <w:adjustRightInd/>
        <w:snapToGrid/>
        <w:spacing w:line="574"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六、存在的主要问题</w:t>
      </w:r>
    </w:p>
    <w:p>
      <w:pPr>
        <w:pStyle w:val="4"/>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74" w:lineRule="exact"/>
        <w:ind w:left="0" w:right="0" w:firstLine="643" w:firstLineChars="20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1、预算控制率有待降低。</w:t>
      </w:r>
    </w:p>
    <w:p>
      <w:pPr>
        <w:pStyle w:val="4"/>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74" w:lineRule="exact"/>
        <w:ind w:left="0" w:right="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除政策性因素以外，由于部分临时、紧急或突发的工作任务导致年中追加预算，需加强进一步预算精准性。</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2、内控制度需进一步完善。</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随着资金管理改革的进一步推进，我单位内部机构进行了相应的优化，建立健全了财务管理制度、固定资产管理制度、费用报销规程、内审等制度，但仍需进一步强化财务约束监督体制。</w:t>
      </w:r>
    </w:p>
    <w:p>
      <w:pPr>
        <w:widowControl w:val="0"/>
        <w:wordWrap/>
        <w:adjustRightInd/>
        <w:snapToGrid/>
        <w:spacing w:line="574"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七、改进措施和有关建议</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1、科学合理编制预算，严格执行预算。</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进一步提高预算编制到位率，做准做全基本支出预算，做全项目支出预算，加强预算支出的审核、跟踪及预算执行情况分析，提高预算编制严谨性和可控性。　</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2、进一步加强项目资金管理。</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严格实行项目管理程序化，实现项目申报、实施、拨付、评价全流程监督与控制，规范专项资金管理，提高专项资金的使用效益。</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3、进一步完善内部管理制度，提升管理效能。</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完善内审工作站的建设，完善项目资金事前研究、审批，事中监管，事后跟踪机制，进一步提升资金监管效能。</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kern w:val="2"/>
          <w:sz w:val="32"/>
          <w:szCs w:val="32"/>
          <w:lang w:val="en-US" w:eastAsia="zh-CN" w:bidi="ar-SA"/>
        </w:rPr>
      </w:pP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640"/>
        <w:jc w:val="both"/>
        <w:textAlignment w:val="auto"/>
        <w:rPr>
          <w:rFonts w:hint="eastAsia" w:ascii="仿宋" w:hAnsi="仿宋" w:eastAsia="仿宋" w:cs="仿宋"/>
          <w:kern w:val="2"/>
          <w:sz w:val="32"/>
          <w:szCs w:val="32"/>
          <w:lang w:val="en-US" w:eastAsia="zh-CN" w:bidi="ar-SA"/>
        </w:rPr>
      </w:pP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5126" w:firstLineChars="1602"/>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宁乡市沙田乡人民政府</w:t>
      </w:r>
    </w:p>
    <w:p>
      <w:pPr>
        <w:pStyle w:val="4"/>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574" w:lineRule="exact"/>
        <w:ind w:left="0" w:right="0" w:firstLine="5766" w:firstLineChars="1802"/>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2022年3月30日</w:t>
      </w:r>
    </w:p>
    <w:sectPr>
      <w:pgSz w:w="11906" w:h="16838"/>
      <w:pgMar w:top="2098" w:right="1474" w:bottom="1984" w:left="158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A00002EF" w:usb1="4000207B" w:usb2="00000000" w:usb3="00000000" w:csb0="2000009F" w:csb1="00000000"/>
  </w:font>
  <w:font w:name="方正小标宋简体">
    <w:panose1 w:val="02010601030101010101"/>
    <w:charset w:val="86"/>
    <w:family w:val="auto"/>
    <w:pitch w:val="default"/>
    <w:sig w:usb0="00000001" w:usb1="080E0000" w:usb2="00000000" w:usb3="00000000" w:csb0="00040000" w:csb1="00000000"/>
  </w:font>
  <w:font w:name="仿宋">
    <w:altName w:val="仿宋_GB2312"/>
    <w:panose1 w:val="02010609060101010101"/>
    <w:charset w:val="86"/>
    <w:family w:val="auto"/>
    <w:pitch w:val="default"/>
    <w:sig w:usb0="800002BF" w:usb1="38CF7CFA" w:usb2="00000016" w:usb3="00000000" w:csb0="00040001" w:csb1="00000000"/>
  </w:font>
  <w:font w:name="楷体">
    <w:altName w:val="楷体_GB2312"/>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7C6417C0"/>
    <w:rsid w:val="00A01A39"/>
    <w:rsid w:val="032F5EAC"/>
    <w:rsid w:val="0E470153"/>
    <w:rsid w:val="106C59AA"/>
    <w:rsid w:val="1BDE4923"/>
    <w:rsid w:val="22322E5B"/>
    <w:rsid w:val="22E71356"/>
    <w:rsid w:val="2C693DBD"/>
    <w:rsid w:val="359C7269"/>
    <w:rsid w:val="3BCF059C"/>
    <w:rsid w:val="46AB1CCB"/>
    <w:rsid w:val="49202ED7"/>
    <w:rsid w:val="4BBD1D54"/>
    <w:rsid w:val="502C392D"/>
    <w:rsid w:val="508C1C29"/>
    <w:rsid w:val="53387457"/>
    <w:rsid w:val="535704F6"/>
    <w:rsid w:val="568F15B9"/>
    <w:rsid w:val="572367DE"/>
    <w:rsid w:val="5767789D"/>
    <w:rsid w:val="58471EB4"/>
    <w:rsid w:val="5A296A9C"/>
    <w:rsid w:val="5BF21B72"/>
    <w:rsid w:val="62534C53"/>
    <w:rsid w:val="64AA70AD"/>
    <w:rsid w:val="66863079"/>
    <w:rsid w:val="6BE04384"/>
    <w:rsid w:val="7B6F109A"/>
    <w:rsid w:val="7C6417C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Style w:val="6"/>
      <w:tblLayout w:type="fixed"/>
      <w:tblCellMar>
        <w:top w:w="0" w:type="dxa"/>
        <w:left w:w="108" w:type="dxa"/>
        <w:bottom w:w="0" w:type="dxa"/>
        <w:right w:w="108" w:type="dxa"/>
      </w:tblCellMar>
    </w:tblPr>
    <w:tcPr>
      <w:textDirection w:val="lrTb"/>
    </w:tcPr>
  </w:style>
  <w:style w:type="paragraph" w:styleId="2">
    <w:name w:val="footer"/>
    <w:basedOn w:val="1"/>
    <w:uiPriority w:val="0"/>
    <w:pPr>
      <w:tabs>
        <w:tab w:val="center" w:pos="4153"/>
        <w:tab w:val="right" w:pos="8306"/>
      </w:tabs>
      <w:snapToGrid w:val="0"/>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个人版_9.1.0.4985_{F1E327BC-269C-435d-A152-05C5408002CA}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2022-03-24T10:20:00Z</dcterms:created>
  <dc:creator>Administrator</dc:creator>
  <cp:lastModifiedBy>Administrator</cp:lastModifiedBy>
  <dcterms:modified xsi:type="dcterms:W3CDTF">2022-08-13T09:24:47Z</dcterms:modified>
  <dc:title>宁乡市沙田乡人民政府2021年</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2052-9.1.0.4985</vt:lpwstr>
  </property>
</Properties>
</file>