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宁乡市交通运输局</w:t>
      </w:r>
    </w:p>
    <w:p>
      <w:pPr>
        <w:spacing w:line="220" w:lineRule="atLeas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部门整体支出绩效自评报告</w:t>
      </w:r>
    </w:p>
    <w:p>
      <w:pPr>
        <w:spacing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一、部门概况</w:t>
      </w:r>
    </w:p>
    <w:p>
      <w:pPr>
        <w:spacing w:line="360" w:lineRule="auto"/>
        <w:ind w:firstLine="600" w:firstLineChars="200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（一）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我局</w:t>
      </w:r>
      <w:r>
        <w:rPr>
          <w:rFonts w:hint="eastAsia" w:cs="宋体" w:asciiTheme="minorEastAsia" w:hAnsiTheme="minorEastAsia" w:eastAsiaTheme="minorEastAsia"/>
          <w:color w:val="353338"/>
          <w:sz w:val="30"/>
          <w:szCs w:val="30"/>
        </w:rPr>
        <w:t>为宁乡市人民政府组成局，正科级建制，为市财政一级全额预算单位。202</w:t>
      </w:r>
      <w:r>
        <w:rPr>
          <w:rFonts w:hint="eastAsia" w:cs="宋体" w:asciiTheme="minorEastAsia" w:hAnsiTheme="minorEastAsia" w:eastAsiaTheme="minorEastAsia"/>
          <w:color w:val="353338"/>
          <w:sz w:val="30"/>
          <w:szCs w:val="30"/>
          <w:lang w:val="en-US" w:eastAsia="zh-CN"/>
        </w:rPr>
        <w:t>1</w:t>
      </w:r>
      <w:r>
        <w:rPr>
          <w:rFonts w:hint="eastAsia" w:cs="宋体" w:asciiTheme="minorEastAsia" w:hAnsiTheme="minorEastAsia" w:eastAsiaTheme="minorEastAsia"/>
          <w:color w:val="353338"/>
          <w:sz w:val="30"/>
          <w:szCs w:val="30"/>
        </w:rPr>
        <w:t>年我局的职能主要是代表市人民政府行使市内交通管理行政职能，全面抓好市级交通管理事权，统筹实施除省管、市管外的全部交通基础设施建设项目，监督管理建设质量，依法做好公路建设、养护和管理工作，抓好道路运输市场的监督管理，并对全市公共客运工作进行管理指导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。202</w:t>
      </w:r>
      <w:r>
        <w:rPr>
          <w:rFonts w:hint="eastAsia" w:cs="宋体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我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 w:eastAsia="zh-CN"/>
        </w:rPr>
        <w:t>局是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以交通综合执法大队、公共交通事务中心、公路养护中心、交通建设质量监督站、玉潭交管站（含13个交管站）为主体构建的交通体系。</w:t>
      </w:r>
      <w:r>
        <w:rPr>
          <w:rFonts w:hint="eastAsia" w:asciiTheme="minorEastAsia" w:hAnsiTheme="minorEastAsia" w:eastAsiaTheme="minorEastAsia"/>
          <w:sz w:val="30"/>
          <w:szCs w:val="30"/>
        </w:rPr>
        <w:t>年末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实有</w:t>
      </w:r>
      <w:r>
        <w:rPr>
          <w:rFonts w:hint="eastAsia" w:asciiTheme="minorEastAsia" w:hAnsiTheme="minorEastAsia" w:eastAsiaTheme="minorEastAsia"/>
          <w:sz w:val="30"/>
          <w:szCs w:val="30"/>
        </w:rPr>
        <w:t>在职人员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556</w:t>
      </w:r>
      <w:r>
        <w:rPr>
          <w:rFonts w:hint="eastAsia" w:asciiTheme="minorEastAsia" w:hAnsiTheme="minorEastAsia" w:eastAsiaTheme="minorEastAsia"/>
          <w:sz w:val="30"/>
          <w:szCs w:val="30"/>
        </w:rPr>
        <w:t>人，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退休人员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325人，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>交通涉改人员44人，其他临时人员5</w:t>
      </w:r>
      <w:r>
        <w:rPr>
          <w:rFonts w:hint="eastAsia" w:asciiTheme="minorEastAsia" w:hAnsiTheme="minorEastAsia" w:eastAsiaTheme="minorEastAsia"/>
          <w:bCs/>
          <w:sz w:val="30"/>
          <w:szCs w:val="30"/>
          <w:lang w:val="en-US" w:eastAsia="zh-CN"/>
        </w:rPr>
        <w:t>6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>人。</w:t>
      </w:r>
    </w:p>
    <w:p>
      <w:pPr>
        <w:spacing w:line="360" w:lineRule="auto"/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（二）202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1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年，我单位收入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 w:eastAsia="zh-CN"/>
        </w:rPr>
        <w:t>合计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87226.9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万元；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 w:eastAsia="zh-CN"/>
        </w:rPr>
        <w:t>支出合计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87226.9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万元，其中：基本支出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7993.3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 xml:space="preserve">万元，占 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9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%，项目支出项目支出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79233.7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万元，占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91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%，主要为公路项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目建设</w:t>
      </w:r>
      <w:r>
        <w:rPr>
          <w:rFonts w:hint="eastAsia" w:cs="仿宋_GB2312" w:asciiTheme="minorEastAsia" w:hAnsiTheme="minorEastAsia" w:eastAsiaTheme="minorEastAsia"/>
          <w:sz w:val="30"/>
          <w:szCs w:val="30"/>
          <w:lang w:eastAsia="zh-CN"/>
        </w:rPr>
        <w:t>资金、公路建设养护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资金、对城市公交的补助支出、对农村道路客运的补贴支出、对出租车的补贴支出、治超工作经费、政府购买中介服务费、治超站卸载场等资金。</w:t>
      </w:r>
    </w:p>
    <w:p>
      <w:pPr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二、部门整体支出管理及使用情况</w:t>
      </w:r>
    </w:p>
    <w:p>
      <w:pPr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（一）基本支出</w:t>
      </w:r>
    </w:p>
    <w:p>
      <w:pPr>
        <w:spacing w:line="360" w:lineRule="auto"/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基本支出主要为工资福利支出、对个人家庭的补助、商品和服务支出中的公用经费支出。我局202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基本支出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7993.3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 xml:space="preserve">万元，占 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9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%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。202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年我局“三公</w:t>
      </w:r>
      <w:r>
        <w:rPr>
          <w:rFonts w:hint="eastAsia" w:cs="仿宋_GB2312" w:asciiTheme="minorEastAsia" w:hAnsiTheme="minorEastAsia" w:eastAsiaTheme="minorEastAsia"/>
          <w:sz w:val="30"/>
          <w:szCs w:val="30"/>
          <w:lang w:eastAsia="zh-CN"/>
        </w:rPr>
        <w:t>”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经费支出为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300.46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none"/>
        </w:rPr>
        <w:t xml:space="preserve"> 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万元，其中公务用车购置和维护经费为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156.79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万元，公务接待费用为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143.67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万元，无出国经费。</w:t>
      </w:r>
    </w:p>
    <w:p>
      <w:pPr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（二）项目支出</w:t>
      </w:r>
    </w:p>
    <w:p>
      <w:pPr>
        <w:spacing w:line="600" w:lineRule="exact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202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年我局项目支出为</w:t>
      </w:r>
      <w:r>
        <w:rPr>
          <w:rFonts w:hint="eastAsia" w:ascii="宋体" w:hAnsi="宋体" w:cs="宋体"/>
          <w:sz w:val="30"/>
          <w:szCs w:val="30"/>
        </w:rPr>
        <w:t>项目支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出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79233.7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万</w:t>
      </w:r>
      <w:r>
        <w:rPr>
          <w:rFonts w:hint="eastAsia" w:ascii="宋体" w:hAnsi="宋体" w:cs="宋体"/>
          <w:sz w:val="30"/>
          <w:szCs w:val="30"/>
        </w:rPr>
        <w:t>元，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占整体支出的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91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%，项目支出包括路</w:t>
      </w:r>
      <w:r>
        <w:rPr>
          <w:rFonts w:hint="eastAsia" w:cs="仿宋_GB2312" w:asciiTheme="minorEastAsia" w:hAnsiTheme="minorEastAsia" w:eastAsiaTheme="minorEastAsia"/>
          <w:sz w:val="30"/>
          <w:szCs w:val="30"/>
          <w:lang w:eastAsia="zh-CN"/>
        </w:rPr>
        <w:t>公路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项目建设资金、</w:t>
      </w:r>
      <w:r>
        <w:rPr>
          <w:rFonts w:hint="eastAsia" w:cs="仿宋_GB2312" w:asciiTheme="minorEastAsia" w:hAnsiTheme="minorEastAsia" w:eastAsiaTheme="minorEastAsia"/>
          <w:sz w:val="30"/>
          <w:szCs w:val="30"/>
          <w:lang w:eastAsia="zh-CN"/>
        </w:rPr>
        <w:t>公路项目养护资金、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对城市公交的补助支出、对农村道路客运的补贴支出、对出租车的补贴支出、治超工作经费、政府购买中介服务费、治超站卸载场等。</w:t>
      </w:r>
      <w:r>
        <w:rPr>
          <w:rFonts w:hint="eastAsia" w:asciiTheme="minorEastAsia" w:hAnsiTheme="minorEastAsia" w:eastAsiaTheme="minorEastAsia"/>
          <w:sz w:val="30"/>
          <w:szCs w:val="30"/>
        </w:rPr>
        <w:t>为加强项目资金的使用管理，我局专门制定了《专项资金管理制度》，所有项目资金的使用都严格按照《专项资金管理制度》及《财务管理制度》，在实施项目过程中，厉行节约，避免浪费，使项目资金能最大限度地发挥其作用。</w:t>
      </w:r>
    </w:p>
    <w:p>
      <w:pPr>
        <w:spacing w:line="600" w:lineRule="exact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三、部门项目组织实施情况</w:t>
      </w:r>
    </w:p>
    <w:p>
      <w:pPr>
        <w:spacing w:line="560" w:lineRule="exact"/>
        <w:ind w:firstLine="600" w:firstLineChars="200"/>
        <w:rPr>
          <w:rFonts w:asciiTheme="minorEastAsia" w:hAnsiTheme="minorEastAsia" w:eastAsiaTheme="minorEastAsia"/>
          <w:color w:val="FF0000"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1.项目组织情况分析</w:t>
      </w:r>
    </w:p>
    <w:p>
      <w:pPr>
        <w:spacing w:line="560" w:lineRule="exact"/>
        <w:ind w:firstLine="600" w:firstLineChars="200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在市人民政府的统一领导下，市交通运输局牵头成立“四好农村办”、自然村通水泥（沥青）路建设指挥部，由各乡镇人民政府（街道办事处）负责本地区农村公路建设项目，各项目单位具体实施。</w:t>
      </w:r>
    </w:p>
    <w:p>
      <w:pPr>
        <w:spacing w:line="360" w:lineRule="auto"/>
        <w:ind w:firstLine="600" w:firstLineChars="200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2.项目管理情况分析</w:t>
      </w:r>
    </w:p>
    <w:p>
      <w:pPr>
        <w:spacing w:line="360" w:lineRule="auto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color w:val="FF0000"/>
          <w:sz w:val="30"/>
          <w:szCs w:val="30"/>
        </w:rPr>
        <w:t xml:space="preserve">    </w:t>
      </w:r>
      <w:r>
        <w:rPr>
          <w:rFonts w:hint="eastAsia" w:asciiTheme="minorEastAsia" w:hAnsiTheme="minorEastAsia" w:eastAsiaTheme="minorEastAsia"/>
          <w:sz w:val="30"/>
          <w:szCs w:val="30"/>
        </w:rPr>
        <w:t xml:space="preserve"> 加强管理，压实责任，分类推进。１、省规自然村通水泥（沥青）路项目是由交运局作为建设业主进行推进，各乡镇村为主对项目路基进行建设，在路基检测合格后由长沙市路桥公司进行统一建设。２、市规提质改造、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乡村振兴</w:t>
      </w:r>
      <w:r>
        <w:rPr>
          <w:rFonts w:hint="eastAsia" w:asciiTheme="minorEastAsia" w:hAnsiTheme="minorEastAsia" w:eastAsiaTheme="minorEastAsia"/>
          <w:sz w:val="30"/>
          <w:szCs w:val="30"/>
        </w:rPr>
        <w:t>、危桥改造和安防工程定为由镇村为业主进行建设的，统一由各项目载体乡镇村为主进行推进，交运局作为行业主管部门进行技术指导、行业监管。3、养护项目建设严格按照《公路工程技术标准》、《公路沥青路面施工技术规范》、《公路工程质量检验评定标准》及施工图设计等执行。结合省市行业管理制度和市局工程管理办法对项目进行管理。本项目自完成招投标及合约签订后，由业主代表和监理单位从工程质量、进度、安全、效益等方面对该工程进行全面管理。精心配备了精干、业务能力强的项目管理人员建立了科学合理的项目组织机构，为项目顺利执行起到保障作用。中标施工单位成立项目经理部，中标监理单位设立项目监理处。项目经理部和监理处进行驻地建设，做到各项规章制度健全，驻地文明、整洁、有序，实现高水平、高起点管理模式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为确保建设项目优质高效安全，各乡镇人民政府（街道办事处）要成立相应的组织领导机构，建立市乡村三级联动的工作机制。并将乡镇在“四好农村路”建设中的成效纳入市对乡镇（街道）的年度绩效考评。市交通运输局将责任领导、技术人员和质监员按项目类型分解进行分类指导、分头推进，按照“一周一调度、一月一小结、一季一通报、一年一考核”的要求，有序推进项目建设。对在项目实施过程中，发现的质量问题，发现一起，处理一起，对出现施工质量、安全问题的企业，不得参与下年度的宁乡市农村公路建设及养护项目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四、资产管理情况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本单位按照国有资产管理工作要求，完善了资产管理方面相关管理制度，配备专人负责</w:t>
      </w:r>
      <w:r>
        <w:rPr>
          <w:rFonts w:hint="eastAsia" w:asciiTheme="minorEastAsia" w:hAnsiTheme="minorEastAsia" w:eastAsiaTheme="minorEastAsia"/>
          <w:sz w:val="30"/>
          <w:szCs w:val="30"/>
        </w:rPr>
        <w:t>国有资产管理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系统管理工作，认真开展国有资产清查工作。国有资产购置、处置等严格按照上级规定、依程序进行。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五、部门整体支出绩效情况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202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30"/>
          <w:szCs w:val="30"/>
        </w:rPr>
        <w:t>年，我局认真做好年度财政资金的预算编制工作，按照政府采购目录及采购限额标准编制政府采购预算，在资金使用和管理方面，进一步强化资金的通知、优化了资金的结构，明确开支范围，细化资金用途，确保部门职责任务顺利完成。全年基本支出保证了部门的正常运行和日常工作的正常开展，达到预期绩效目标。总体较为满意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六、存在的主要问题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1.年初预算安排不够合理，年中预算调整数值较大，预算编制的合理性需调整；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2.绩效评价指标体系有待细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0"/>
          <w:szCs w:val="30"/>
        </w:rPr>
        <w:t>化。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七、改进措施和有关建议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1.加强单位预算编制工作，根据业务开展需要，逐项做出预算计划，预算合理、不留缺口；</w:t>
      </w:r>
    </w:p>
    <w:p>
      <w:pPr>
        <w:spacing w:line="360" w:lineRule="auto"/>
        <w:ind w:firstLine="600" w:firstLineChars="200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2.加强业务培训，提高评价水平。部门整体绩效评价工作是一项长期性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的工作</w:t>
      </w:r>
      <w:r>
        <w:rPr>
          <w:rFonts w:hint="eastAsia" w:asciiTheme="minorEastAsia" w:hAnsiTheme="minorEastAsia" w:eastAsiaTheme="minorEastAsia"/>
          <w:sz w:val="30"/>
          <w:szCs w:val="30"/>
        </w:rPr>
        <w:t>，专业性强，建议财政部门进一步加强业务部门相关人员的政策、业务工作培训和指导，优化相关指标，切实推进绩效评价工作的开展。</w:t>
      </w:r>
    </w:p>
    <w:p>
      <w:pPr>
        <w:spacing w:line="60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360" w:lineRule="auto"/>
        <w:ind w:firstLine="600" w:firstLineChars="200"/>
        <w:rPr>
          <w:rFonts w:asciiTheme="minorEastAsia" w:hAnsiTheme="minorEastAsia" w:eastAsiaTheme="minorEastAsia"/>
          <w:color w:val="FF000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</w:p>
    <w:p>
      <w:pPr>
        <w:spacing w:line="220" w:lineRule="atLeast"/>
        <w:rPr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hNzJlMGFjOWZlMDIxNDk1ZjA0NzQxMmYzMGMyNTcifQ=="/>
  </w:docVars>
  <w:rsids>
    <w:rsidRoot w:val="00D31D50"/>
    <w:rsid w:val="00090DAC"/>
    <w:rsid w:val="001A17AA"/>
    <w:rsid w:val="00323B43"/>
    <w:rsid w:val="003322E7"/>
    <w:rsid w:val="003D37D8"/>
    <w:rsid w:val="00421BE6"/>
    <w:rsid w:val="00426133"/>
    <w:rsid w:val="004358AB"/>
    <w:rsid w:val="00716E42"/>
    <w:rsid w:val="00751887"/>
    <w:rsid w:val="00790E08"/>
    <w:rsid w:val="008B7726"/>
    <w:rsid w:val="00964DD1"/>
    <w:rsid w:val="009A159F"/>
    <w:rsid w:val="00AF29FD"/>
    <w:rsid w:val="00B76EE3"/>
    <w:rsid w:val="00BD313A"/>
    <w:rsid w:val="00C53E86"/>
    <w:rsid w:val="00D12C4F"/>
    <w:rsid w:val="00D31D50"/>
    <w:rsid w:val="00E107C9"/>
    <w:rsid w:val="00EC35B2"/>
    <w:rsid w:val="00F17CC5"/>
    <w:rsid w:val="00FC260E"/>
    <w:rsid w:val="04CE427D"/>
    <w:rsid w:val="05657A05"/>
    <w:rsid w:val="072076EE"/>
    <w:rsid w:val="08061B18"/>
    <w:rsid w:val="11EF1AC0"/>
    <w:rsid w:val="13453400"/>
    <w:rsid w:val="1C3477DB"/>
    <w:rsid w:val="2D5A24B5"/>
    <w:rsid w:val="32AC4E03"/>
    <w:rsid w:val="350A0A63"/>
    <w:rsid w:val="3D78729B"/>
    <w:rsid w:val="561C4443"/>
    <w:rsid w:val="57C71C02"/>
    <w:rsid w:val="5FAE364C"/>
    <w:rsid w:val="66DD2E94"/>
    <w:rsid w:val="6AA70803"/>
    <w:rsid w:val="71E6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1974</Words>
  <Characters>2063</Characters>
  <Lines>16</Lines>
  <Paragraphs>4</Paragraphs>
  <TotalTime>2</TotalTime>
  <ScaleCrop>false</ScaleCrop>
  <LinksUpToDate>false</LinksUpToDate>
  <CharactersWithSpaces>2077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2021-03-30T03:46:00Z</dcterms:created>
  <dc:creator>Administrator</dc:creator>
  <cp:lastModifiedBy>王薇</cp:lastModifiedBy>
  <dcterms:modified xsi:type="dcterms:W3CDTF">2023-06-27T07:47:48Z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AE8C82DAACDB4215BD6E377F312F8424</vt:lpwstr>
  </property>
</Properties>
</file>