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ind w:left="91"/>
        <w:jc w:val="center"/>
        <w:rPr>
          <w:rFonts w:ascii="Times New Roman" w:hAnsi="Times New Roman" w:eastAsia="方正小标宋简体"/>
          <w:b/>
          <w:kern w:val="0"/>
          <w:sz w:val="44"/>
          <w:szCs w:val="44"/>
        </w:rPr>
      </w:pPr>
      <w:r>
        <w:rPr>
          <w:rFonts w:hint="eastAsia" w:ascii="Times New Roman" w:hAnsi="Times New Roman" w:eastAsia="方正小标宋简体"/>
          <w:b/>
          <w:kern w:val="0"/>
          <w:sz w:val="44"/>
          <w:szCs w:val="44"/>
        </w:rPr>
        <w:t>宁乡市公路养护中心</w:t>
      </w:r>
    </w:p>
    <w:p>
      <w:pPr>
        <w:widowControl/>
        <w:spacing w:line="600" w:lineRule="exact"/>
        <w:ind w:left="91"/>
        <w:jc w:val="center"/>
        <w:rPr>
          <w:rFonts w:ascii="Times New Roman" w:hAnsi="Times New Roman" w:eastAsia="方正小标宋简体"/>
          <w:b/>
          <w:kern w:val="0"/>
          <w:sz w:val="44"/>
          <w:szCs w:val="44"/>
        </w:rPr>
      </w:pPr>
      <w:r>
        <w:rPr>
          <w:rFonts w:ascii="Times New Roman" w:hAnsi="Times New Roman" w:eastAsia="方正小标宋简体"/>
          <w:b/>
          <w:kern w:val="0"/>
          <w:sz w:val="44"/>
          <w:szCs w:val="44"/>
        </w:rPr>
        <w:t>整体支出绩效</w:t>
      </w:r>
      <w:r>
        <w:rPr>
          <w:rFonts w:hint="eastAsia" w:ascii="Times New Roman" w:hAnsi="Times New Roman" w:eastAsia="方正小标宋简体"/>
          <w:b/>
          <w:kern w:val="0"/>
          <w:sz w:val="44"/>
          <w:szCs w:val="44"/>
        </w:rPr>
        <w:t>自评</w:t>
      </w:r>
      <w:r>
        <w:rPr>
          <w:rFonts w:ascii="Times New Roman" w:hAnsi="Times New Roman" w:eastAsia="方正小标宋简体"/>
          <w:b/>
          <w:kern w:val="0"/>
          <w:sz w:val="44"/>
          <w:szCs w:val="44"/>
        </w:rPr>
        <w:t>报告</w:t>
      </w:r>
    </w:p>
    <w:p>
      <w:pPr>
        <w:widowControl/>
        <w:spacing w:line="600" w:lineRule="exact"/>
        <w:ind w:left="91"/>
        <w:jc w:val="center"/>
        <w:rPr>
          <w:rFonts w:ascii="楷体_GB2312" w:hAnsi="Times New Roman" w:eastAsia="楷体_GB2312"/>
          <w:kern w:val="0"/>
          <w:sz w:val="32"/>
          <w:szCs w:val="32"/>
        </w:rPr>
      </w:pPr>
    </w:p>
    <w:p>
      <w:pPr>
        <w:pStyle w:val="12"/>
        <w:spacing w:line="600" w:lineRule="exact"/>
        <w:ind w:firstLine="624" w:firstLineChars="200"/>
        <w:rPr>
          <w:rFonts w:hint="eastAsia" w:ascii="仿宋_GB2312" w:hAnsi="仿宋" w:eastAsia="仿宋_GB2312"/>
          <w:sz w:val="32"/>
          <w:szCs w:val="32"/>
        </w:rPr>
      </w:pPr>
      <w:r>
        <w:rPr>
          <w:rFonts w:hint="eastAsia" w:ascii="仿宋_GB2312" w:hAnsi="仿宋" w:eastAsia="仿宋_GB2312"/>
          <w:sz w:val="32"/>
          <w:szCs w:val="32"/>
        </w:rPr>
        <w:t>根据《宁乡市财政局关于开展202</w:t>
      </w:r>
      <w:r>
        <w:rPr>
          <w:rFonts w:hint="eastAsia" w:ascii="仿宋_GB2312" w:hAnsi="仿宋" w:eastAsia="仿宋_GB2312"/>
          <w:sz w:val="32"/>
          <w:szCs w:val="32"/>
          <w:lang w:val="en-US" w:eastAsia="zh-CN"/>
        </w:rPr>
        <w:t>1</w:t>
      </w:r>
      <w:r>
        <w:rPr>
          <w:rFonts w:hint="eastAsia" w:ascii="仿宋_GB2312" w:hAnsi="仿宋" w:eastAsia="仿宋_GB2312"/>
          <w:sz w:val="32"/>
          <w:szCs w:val="32"/>
        </w:rPr>
        <w:t>年部门预算单位绩效自评工作的通知》</w:t>
      </w:r>
      <w:r>
        <w:rPr>
          <w:rFonts w:hint="eastAsia" w:ascii="仿宋_GB2312" w:hAnsi="仿宋" w:eastAsia="仿宋_GB2312"/>
          <w:sz w:val="32"/>
          <w:szCs w:val="32"/>
          <w:lang w:val="en-US" w:eastAsia="zh-CN"/>
        </w:rPr>
        <w:t>(宁财</w:t>
      </w:r>
      <w:r>
        <w:rPr>
          <w:rFonts w:hint="eastAsia" w:ascii="仿宋" w:hAnsi="仿宋" w:eastAsia="仿宋" w:cs="仿宋"/>
          <w:sz w:val="32"/>
          <w:szCs w:val="32"/>
          <w:lang w:val="en-US" w:eastAsia="zh-CN"/>
        </w:rPr>
        <w:t>〔2021〕7号）</w:t>
      </w:r>
      <w:r>
        <w:rPr>
          <w:rFonts w:hint="eastAsia" w:ascii="仿宋_GB2312" w:hAnsi="仿宋" w:eastAsia="仿宋_GB2312"/>
          <w:sz w:val="32"/>
          <w:szCs w:val="32"/>
        </w:rPr>
        <w:t>，我中心高度重视，认真落实工作责任，对</w:t>
      </w:r>
      <w:r>
        <w:rPr>
          <w:rFonts w:hint="eastAsia" w:ascii="仿宋_GB2312" w:hAnsi="仿宋" w:eastAsia="仿宋_GB2312"/>
          <w:sz w:val="32"/>
          <w:szCs w:val="32"/>
          <w:lang w:val="en-US" w:eastAsia="zh-CN"/>
        </w:rPr>
        <w:t>2020</w:t>
      </w:r>
      <w:r>
        <w:rPr>
          <w:rFonts w:hint="eastAsia" w:ascii="仿宋_GB2312" w:hAnsi="仿宋" w:eastAsia="仿宋_GB2312"/>
          <w:sz w:val="32"/>
          <w:szCs w:val="32"/>
        </w:rPr>
        <w:t>年度部门整体支出绩效进行了全面综合评价。现将有关情况汇报如下:</w:t>
      </w:r>
    </w:p>
    <w:p>
      <w:pPr>
        <w:spacing w:line="600" w:lineRule="exact"/>
        <w:ind w:firstLine="612" w:firstLineChars="196"/>
        <w:jc w:val="left"/>
        <w:rPr>
          <w:rFonts w:ascii="Times New Roman" w:hAnsi="Times New Roman" w:eastAsia="黑体"/>
          <w:bCs/>
          <w:sz w:val="32"/>
          <w:szCs w:val="32"/>
        </w:rPr>
      </w:pPr>
      <w:r>
        <w:rPr>
          <w:rFonts w:ascii="Times New Roman" w:hAnsi="Times New Roman" w:eastAsia="黑体"/>
          <w:bCs/>
          <w:sz w:val="32"/>
          <w:szCs w:val="32"/>
        </w:rPr>
        <w:t>一、部门概况</w:t>
      </w:r>
    </w:p>
    <w:p>
      <w:pPr>
        <w:spacing w:line="600" w:lineRule="exact"/>
        <w:ind w:firstLine="612" w:firstLineChars="196"/>
        <w:jc w:val="left"/>
        <w:rPr>
          <w:rFonts w:ascii="Times New Roman" w:hAnsi="Times New Roman" w:eastAsia="仿宋_GB2312"/>
          <w:sz w:val="32"/>
          <w:szCs w:val="32"/>
        </w:rPr>
      </w:pPr>
      <w:r>
        <w:rPr>
          <w:rFonts w:hint="eastAsia" w:ascii="楷体_GB2312" w:hAnsi="Times New Roman" w:eastAsia="楷体_GB2312"/>
          <w:b/>
          <w:sz w:val="32"/>
          <w:szCs w:val="32"/>
        </w:rPr>
        <w:t>（一）</w:t>
      </w:r>
      <w:r>
        <w:rPr>
          <w:rFonts w:ascii="Times New Roman" w:hAnsi="Times New Roman" w:eastAsia="仿宋_GB2312"/>
          <w:sz w:val="32"/>
          <w:szCs w:val="32"/>
        </w:rPr>
        <w:t>部门基本情况</w:t>
      </w:r>
    </w:p>
    <w:p>
      <w:pPr>
        <w:widowControl/>
        <w:shd w:val="clear" w:color="auto" w:fill="FFFFFF"/>
        <w:autoSpaceDN w:val="0"/>
        <w:ind w:firstLine="624"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1.主要职能</w:t>
      </w:r>
    </w:p>
    <w:p>
      <w:pPr>
        <w:pStyle w:val="12"/>
        <w:spacing w:line="600" w:lineRule="exact"/>
        <w:ind w:firstLine="624" w:firstLineChars="200"/>
        <w:rPr>
          <w:rFonts w:ascii="楷体_GB2312" w:hAnsi="宋体" w:eastAsia="楷体_GB2312"/>
          <w:b/>
          <w:bCs/>
          <w:kern w:val="0"/>
          <w:sz w:val="32"/>
          <w:szCs w:val="32"/>
        </w:rPr>
      </w:pPr>
      <w:r>
        <w:rPr>
          <w:rFonts w:hint="eastAsia" w:ascii="仿宋_GB2312" w:eastAsia="仿宋_GB2312"/>
          <w:sz w:val="32"/>
          <w:szCs w:val="32"/>
        </w:rPr>
        <w:t>我中心依照《中华人民共和国公路法》及相关法规，进行公路建设、养护和管理。工程建设职责：按照公路发展规划，负责编制公路工程项目、公路养护建议计划，组织干线公路改造、路面大中修、危桥改造、水毁抢修等工程建设任务，对外承接公路、桥梁的建设工程。养护管理职责：贯彻执行上级公路养护工作方针、政策，负责组织实施所辖公路的日常保养、路面养护、设施维护，提高职工养护技能，确保路况良好。</w:t>
      </w:r>
    </w:p>
    <w:p>
      <w:pPr>
        <w:keepNext w:val="0"/>
        <w:keepLines w:val="0"/>
        <w:pageBreakBefore w:val="0"/>
        <w:kinsoku/>
        <w:wordWrap/>
        <w:overflowPunct/>
        <w:topLinePunct w:val="0"/>
        <w:autoSpaceDE/>
        <w:autoSpaceDN/>
        <w:bidi w:val="0"/>
        <w:adjustRightInd/>
        <w:snapToGrid/>
        <w:spacing w:beforeAutospacing="0" w:afterAutospacing="0"/>
        <w:ind w:left="0" w:leftChars="0" w:firstLine="624" w:firstLineChars="200"/>
        <w:textAlignment w:val="auto"/>
        <w:rPr>
          <w:rFonts w:hint="eastAsia" w:ascii="仿宋_GB2312" w:hAnsi="Times New Roman" w:eastAsia="仿宋_GB2312" w:cs="宋体"/>
          <w:kern w:val="2"/>
          <w:sz w:val="32"/>
          <w:szCs w:val="32"/>
          <w:lang w:val="en-US" w:eastAsia="zh-CN" w:bidi="ar-SA"/>
        </w:rPr>
      </w:pPr>
      <w:r>
        <w:rPr>
          <w:rFonts w:hint="eastAsia" w:ascii="仿宋_GB2312" w:hAnsi="Times New Roman" w:eastAsia="仿宋_GB2312" w:cs="宋体"/>
          <w:kern w:val="2"/>
          <w:sz w:val="32"/>
          <w:szCs w:val="32"/>
          <w:lang w:val="en-US" w:eastAsia="zh-CN" w:bidi="ar-SA"/>
        </w:rPr>
        <w:t>2．机构情况</w:t>
      </w:r>
    </w:p>
    <w:p>
      <w:pPr>
        <w:pStyle w:val="4"/>
        <w:keepNext w:val="0"/>
        <w:keepLines w:val="0"/>
        <w:pageBreakBefore w:val="0"/>
        <w:kinsoku/>
        <w:wordWrap/>
        <w:overflowPunct/>
        <w:topLinePunct w:val="0"/>
        <w:autoSpaceDE/>
        <w:autoSpaceDN/>
        <w:bidi w:val="0"/>
        <w:adjustRightInd/>
        <w:snapToGrid/>
        <w:spacing w:before="0" w:beforeAutospacing="0" w:after="0" w:afterAutospacing="0"/>
        <w:ind w:left="0" w:leftChars="0" w:firstLine="420"/>
        <w:textAlignment w:val="auto"/>
        <w:rPr>
          <w:rFonts w:hint="eastAsia" w:ascii="仿宋_GB2312" w:hAnsi="Times New Roman" w:eastAsia="仿宋_GB2312"/>
          <w:kern w:val="2"/>
          <w:sz w:val="32"/>
          <w:szCs w:val="32"/>
        </w:rPr>
      </w:pPr>
      <w:r>
        <w:rPr>
          <w:rFonts w:hint="eastAsia" w:ascii="仿宋_GB2312" w:hAnsi="Times New Roman" w:eastAsia="仿宋_GB2312" w:cs="宋体"/>
          <w:kern w:val="2"/>
          <w:sz w:val="32"/>
          <w:szCs w:val="32"/>
          <w:lang w:val="en-US" w:eastAsia="zh-CN" w:bidi="ar-SA"/>
        </w:rPr>
        <w:t>我中心为正科级全额拨款事业单位，单位内设部室10个，包括综合部、人</w:t>
      </w:r>
      <w:r>
        <w:rPr>
          <w:rFonts w:hint="eastAsia" w:ascii="仿宋_GB2312" w:hAnsi="Times New Roman" w:eastAsia="仿宋_GB2312"/>
          <w:kern w:val="2"/>
          <w:sz w:val="32"/>
          <w:szCs w:val="32"/>
        </w:rPr>
        <w:t>力资源部、财务部、质量安全部、计划前期部、项目建设部、结算审计部、干线公路养护部、农村公路养护部、机械材料部。</w:t>
      </w:r>
    </w:p>
    <w:p>
      <w:pPr>
        <w:ind w:firstLine="624"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3．人员情况</w:t>
      </w:r>
    </w:p>
    <w:p>
      <w:pPr>
        <w:pStyle w:val="4"/>
        <w:keepNext w:val="0"/>
        <w:keepLines w:val="0"/>
        <w:pageBreakBefore w:val="0"/>
        <w:kinsoku/>
        <w:wordWrap/>
        <w:overflowPunct/>
        <w:topLinePunct w:val="0"/>
        <w:autoSpaceDE/>
        <w:autoSpaceDN/>
        <w:bidi w:val="0"/>
        <w:adjustRightInd/>
        <w:snapToGrid/>
        <w:spacing w:before="0" w:beforeAutospacing="0" w:after="0" w:afterAutospacing="0"/>
        <w:ind w:left="0" w:leftChars="0" w:firstLine="420"/>
        <w:textAlignment w:val="auto"/>
        <w:rPr>
          <w:rFonts w:hint="eastAsia" w:ascii="仿宋_GB2312" w:hAnsi="Times New Roman" w:eastAsia="仿宋_GB2312"/>
          <w:kern w:val="2"/>
          <w:sz w:val="32"/>
          <w:szCs w:val="32"/>
        </w:rPr>
      </w:pPr>
      <w:r>
        <w:rPr>
          <w:rFonts w:hint="eastAsia" w:ascii="仿宋_GB2312" w:hAnsi="Times New Roman" w:eastAsia="仿宋_GB2312"/>
          <w:kern w:val="2"/>
          <w:sz w:val="32"/>
          <w:szCs w:val="32"/>
        </w:rPr>
        <w:t>202</w:t>
      </w:r>
      <w:r>
        <w:rPr>
          <w:rFonts w:ascii="仿宋_GB2312" w:hAnsi="Times New Roman" w:eastAsia="仿宋_GB2312"/>
          <w:kern w:val="2"/>
          <w:sz w:val="32"/>
          <w:szCs w:val="32"/>
        </w:rPr>
        <w:t>0</w:t>
      </w:r>
      <w:r>
        <w:rPr>
          <w:rFonts w:hint="eastAsia" w:ascii="仿宋_GB2312" w:hAnsi="Times New Roman" w:eastAsia="仿宋_GB2312"/>
          <w:kern w:val="2"/>
          <w:sz w:val="32"/>
          <w:szCs w:val="32"/>
        </w:rPr>
        <w:t>年实有在职正式职工1</w:t>
      </w:r>
      <w:r>
        <w:rPr>
          <w:rFonts w:ascii="仿宋_GB2312" w:hAnsi="Times New Roman" w:eastAsia="仿宋_GB2312"/>
          <w:kern w:val="2"/>
          <w:sz w:val="32"/>
          <w:szCs w:val="32"/>
        </w:rPr>
        <w:t>83</w:t>
      </w:r>
      <w:r>
        <w:rPr>
          <w:rFonts w:hint="eastAsia" w:ascii="仿宋_GB2312" w:hAnsi="Times New Roman" w:eastAsia="仿宋_GB2312"/>
          <w:kern w:val="2"/>
          <w:sz w:val="32"/>
          <w:szCs w:val="32"/>
        </w:rPr>
        <w:t>人，包含参公事业人员2</w:t>
      </w:r>
      <w:r>
        <w:rPr>
          <w:rFonts w:ascii="仿宋_GB2312" w:hAnsi="Times New Roman" w:eastAsia="仿宋_GB2312"/>
          <w:kern w:val="2"/>
          <w:sz w:val="32"/>
          <w:szCs w:val="32"/>
        </w:rPr>
        <w:t>1</w:t>
      </w:r>
      <w:r>
        <w:rPr>
          <w:rFonts w:hint="eastAsia" w:ascii="仿宋_GB2312" w:hAnsi="Times New Roman" w:eastAsia="仿宋_GB2312"/>
          <w:kern w:val="2"/>
          <w:sz w:val="32"/>
          <w:szCs w:val="32"/>
        </w:rPr>
        <w:t>人；临时聘用人员</w:t>
      </w:r>
      <w:r>
        <w:rPr>
          <w:rFonts w:ascii="仿宋_GB2312" w:hAnsi="Times New Roman" w:eastAsia="仿宋_GB2312"/>
          <w:kern w:val="2"/>
          <w:sz w:val="32"/>
          <w:szCs w:val="32"/>
        </w:rPr>
        <w:t>2</w:t>
      </w:r>
      <w:r>
        <w:rPr>
          <w:rFonts w:hint="eastAsia" w:ascii="仿宋_GB2312" w:hAnsi="Times New Roman" w:eastAsia="仿宋_GB2312"/>
          <w:kern w:val="2"/>
          <w:sz w:val="32"/>
          <w:szCs w:val="32"/>
        </w:rPr>
        <w:t>7人。</w:t>
      </w:r>
    </w:p>
    <w:p>
      <w:pPr>
        <w:spacing w:line="600" w:lineRule="exact"/>
        <w:ind w:firstLine="612" w:firstLineChars="196"/>
        <w:jc w:val="left"/>
        <w:rPr>
          <w:rFonts w:ascii="仿宋_GB2312" w:hAnsi="仿宋" w:eastAsia="仿宋_GB2312"/>
          <w:bCs/>
          <w:sz w:val="32"/>
          <w:szCs w:val="32"/>
        </w:rPr>
      </w:pPr>
      <w:r>
        <w:rPr>
          <w:rFonts w:hint="eastAsia" w:ascii="仿宋_GB2312" w:hAnsi="仿宋" w:eastAsia="仿宋_GB2312"/>
          <w:bCs/>
          <w:sz w:val="32"/>
          <w:szCs w:val="32"/>
        </w:rPr>
        <w:t>4.重点工作</w:t>
      </w:r>
    </w:p>
    <w:p>
      <w:pPr>
        <w:pStyle w:val="12"/>
        <w:spacing w:line="600" w:lineRule="exact"/>
        <w:ind w:firstLine="624"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2020年，市交运局公路养护中心在市委、市政府的正确领导和上级交通公路部门的大力支持下，坚决贯彻落实习近平总书记关于交通运输工作的重要指示批示精神，树牢高质量发展理念，按照有利于产业发展、民生改善、便捷出行的原则，全力提升公路建设、养护和管理水平，全年共完成公路基础设施建设投资约7亿元，圆满完成了省市下达的各项工作任务，为我市经济社会发展提供了坚强有力的公路支撑。</w:t>
      </w:r>
    </w:p>
    <w:p>
      <w:pPr>
        <w:ind w:firstLine="624" w:firstLineChars="200"/>
        <w:rPr>
          <w:rFonts w:hint="eastAsia" w:ascii="仿宋_GB2312" w:hAnsi="Calibri" w:eastAsia="仿宋_GB2312" w:cs="黑体"/>
          <w:color w:val="000000"/>
          <w:kern w:val="0"/>
          <w:sz w:val="32"/>
          <w:szCs w:val="32"/>
          <w:lang w:val="en-US" w:eastAsia="zh-CN" w:bidi="ar-SA"/>
        </w:rPr>
      </w:pPr>
      <w:r>
        <w:rPr>
          <w:rFonts w:hint="eastAsia" w:ascii="楷体_GB2312" w:hAnsi="楷体_GB2312" w:eastAsia="楷体_GB2312" w:cs="楷体_GB2312"/>
          <w:b/>
          <w:bCs/>
          <w:sz w:val="32"/>
          <w:szCs w:val="32"/>
        </w:rPr>
        <w:t>1、坚持党建引领，规范管理，队伍建设卓有成效。</w:t>
      </w:r>
      <w:r>
        <w:rPr>
          <w:rFonts w:hint="eastAsia" w:ascii="仿宋_GB2312" w:hAnsi="Calibri" w:eastAsia="仿宋_GB2312" w:cs="黑体"/>
          <w:color w:val="000000"/>
          <w:kern w:val="0"/>
          <w:sz w:val="32"/>
          <w:szCs w:val="32"/>
          <w:lang w:val="en-US" w:eastAsia="zh-CN" w:bidi="ar-SA"/>
        </w:rPr>
        <w:t>坚持以习近平新时代中国特色社会主义思想为引领，完善职能配置、规范内设机构、注重建章立制，工作运行机制进一步完善。坚决贯彻落实中央和省、市战略部署和工作安排，切实强化队伍政治、思想、作风和廉政建设，打造好干事创业平台，队伍履职能力进一步提升。坚持团结协作，依靠集体智慧，形成上下同心谋发展、和舟共济干事业的强大合力，和谐稳定局面进一步巩固。2020年中心党总支获评“全国公路行业先进基层党组织”，中心荣获“长沙市文明标兵单位”称号。</w:t>
      </w:r>
    </w:p>
    <w:p>
      <w:pPr>
        <w:ind w:firstLine="624" w:firstLineChars="200"/>
        <w:rPr>
          <w:rFonts w:hint="eastAsia" w:ascii="仿宋_GB2312" w:hAnsi="Calibri" w:eastAsia="仿宋_GB2312" w:cs="黑体"/>
          <w:color w:val="000000"/>
          <w:kern w:val="0"/>
          <w:sz w:val="32"/>
          <w:szCs w:val="32"/>
          <w:lang w:val="en-US" w:eastAsia="zh-CN" w:bidi="ar-SA"/>
        </w:rPr>
      </w:pPr>
      <w:r>
        <w:rPr>
          <w:rFonts w:hint="eastAsia" w:ascii="楷体_GB2312" w:hAnsi="楷体_GB2312" w:eastAsia="楷体_GB2312" w:cs="楷体_GB2312"/>
          <w:b/>
          <w:bCs/>
          <w:sz w:val="32"/>
          <w:szCs w:val="32"/>
        </w:rPr>
        <w:t>2、坚持项目为纲，实干为上，先行作用充分发挥。</w:t>
      </w:r>
      <w:r>
        <w:rPr>
          <w:rFonts w:hint="eastAsia" w:ascii="仿宋_GB2312" w:hAnsi="Calibri" w:eastAsia="仿宋_GB2312" w:cs="黑体"/>
          <w:color w:val="000000"/>
          <w:kern w:val="0"/>
          <w:sz w:val="32"/>
          <w:szCs w:val="32"/>
          <w:lang w:val="en-US" w:eastAsia="zh-CN" w:bidi="ar-SA"/>
        </w:rPr>
        <w:t>以提高公路发展质量和效益为中心，紧盯民生实事目标任务和重大项目，把精力向项目集中、重心向项目集聚、要素向项目集结。年内共实施项目21个，完成投资约7亿元，提质改造路网129公里，位列长沙市第一。在项目实施中，发扬“甘为路石，敢承大重”的“湘路精神”，切实提升质量、安全和廉政意识，通过优化项目设计、强化制度约束、加强现场管控等措施，高效推进公路基础设施建设，先后完成了黄龙公路、南志公路、边资公路等多个省市重点项目和民本民生工程，启动实施G354宁乡段、五巷公路提质改造，充分发挥了公路基础设施建设在稳投资、稳就业、稳预期及保民生、保市场方面的先行和基础作用。</w:t>
      </w:r>
    </w:p>
    <w:p>
      <w:pPr>
        <w:ind w:firstLine="624" w:firstLineChars="200"/>
        <w:rPr>
          <w:rFonts w:hint="eastAsia" w:ascii="仿宋_GB2312" w:hAnsi="Calibri" w:eastAsia="仿宋_GB2312" w:cs="黑体"/>
          <w:color w:val="000000"/>
          <w:kern w:val="0"/>
          <w:sz w:val="32"/>
          <w:szCs w:val="32"/>
          <w:lang w:val="en-US" w:eastAsia="zh-CN" w:bidi="ar-SA"/>
        </w:rPr>
      </w:pPr>
      <w:r>
        <w:rPr>
          <w:rFonts w:hint="eastAsia" w:ascii="楷体_GB2312" w:hAnsi="楷体_GB2312" w:eastAsia="楷体_GB2312" w:cs="楷体_GB2312"/>
          <w:b/>
          <w:bCs/>
          <w:sz w:val="32"/>
          <w:szCs w:val="32"/>
        </w:rPr>
        <w:t>3、坚持高质规划，科学布局，发展后劲不断增强。</w:t>
      </w:r>
      <w:r>
        <w:rPr>
          <w:rFonts w:hint="eastAsia" w:ascii="仿宋_GB2312" w:hAnsi="Calibri" w:eastAsia="仿宋_GB2312" w:cs="黑体"/>
          <w:color w:val="000000"/>
          <w:kern w:val="0"/>
          <w:sz w:val="32"/>
          <w:szCs w:val="32"/>
          <w:lang w:val="en-US" w:eastAsia="zh-CN" w:bidi="ar-SA"/>
        </w:rPr>
        <w:t>结合我市公路实际和群众期盼，下好项目规划“先手棋”，成立专班、派出专人、明确专项做好争资争项规划，强力推进前期手续办理，争资争项做到快人一步。年内在实施12个省市计划项目的基础上（争资2亿元），计划外另积极争取S326大修、边资公路提质改造等项目9个（争资1.5亿元，争取的省市补助资金基本可覆盖项目建设费用），全年总计争资3.5亿元，为市下达计划的150%。根据我市交通规划，谋划实施S328龙田至青山桥段等储备项目，形成公路项目“开工一批、储备一批、谋划一批”的良性循环格局，持续保持宁乡公路基础设施发展后劲。</w:t>
      </w:r>
    </w:p>
    <w:p>
      <w:pPr>
        <w:ind w:firstLine="624" w:firstLineChars="200"/>
        <w:rPr>
          <w:rFonts w:hint="eastAsia" w:ascii="仿宋_GB2312" w:hAnsi="Calibri" w:eastAsia="仿宋_GB2312" w:cs="黑体"/>
          <w:color w:val="000000"/>
          <w:kern w:val="0"/>
          <w:sz w:val="32"/>
          <w:szCs w:val="32"/>
          <w:lang w:val="en-US" w:eastAsia="zh-CN" w:bidi="ar-SA"/>
        </w:rPr>
      </w:pPr>
      <w:r>
        <w:rPr>
          <w:rFonts w:hint="eastAsia" w:ascii="楷体_GB2312" w:hAnsi="楷体_GB2312" w:eastAsia="楷体_GB2312" w:cs="楷体_GB2312"/>
          <w:b/>
          <w:bCs/>
          <w:sz w:val="32"/>
          <w:szCs w:val="32"/>
        </w:rPr>
        <w:t>4、坚持创新发展，降本增效，养护水平持续提升。</w:t>
      </w:r>
      <w:r>
        <w:rPr>
          <w:rFonts w:hint="eastAsia" w:ascii="仿宋_GB2312" w:hAnsi="Calibri" w:eastAsia="仿宋_GB2312" w:cs="黑体"/>
          <w:color w:val="000000"/>
          <w:kern w:val="0"/>
          <w:sz w:val="32"/>
          <w:szCs w:val="32"/>
          <w:lang w:val="en-US" w:eastAsia="zh-CN" w:bidi="ar-SA"/>
        </w:rPr>
        <w:t>积极深化养护市场改革，探索推行分线路分片区养护方式，建立“一路一档”信息化养护档案，全力创建全国农村公路管养体制改革示范县。干线公路完成S326、S537、S221路面大修工程37.029公里，完成G319、S539、S537预防性养护23.5公里；提质境内16条国省干线公路保洁绿化养护标准，沥青路面挖补约45000m2、路面清灌缝约275000m、补栽行道树1400株，持续保持我市干线公路良好的运营状态，圆满完成“十三五”全国干线公路国检工作，PCI（路面状况指数）和RQI（路面行驶质量指数）为双优，干线公路优良率94.13%，超省定目标5.13%。农村公路全年实施日常养护项目100余个，完成贺家湾至回龙铺路段乡村振兴示范走廊建设，创建了X001、X094、Y604、C133示范线路，农村公路中等路率88.76%，超省定目标3.76%，实现了农村公路养护与乡村振兴、脱贫攻坚、生态保护的和谐共进。</w:t>
      </w:r>
    </w:p>
    <w:p>
      <w:pPr>
        <w:ind w:firstLine="624" w:firstLineChars="200"/>
        <w:rPr>
          <w:rFonts w:hint="eastAsia" w:ascii="仿宋_GB2312" w:hAnsi="Calibri" w:eastAsia="仿宋_GB2312" w:cs="黑体"/>
          <w:color w:val="000000"/>
          <w:kern w:val="0"/>
          <w:sz w:val="32"/>
          <w:szCs w:val="32"/>
          <w:lang w:val="en-US" w:eastAsia="zh-CN" w:bidi="ar-SA"/>
        </w:rPr>
      </w:pPr>
      <w:r>
        <w:rPr>
          <w:rFonts w:hint="eastAsia" w:ascii="楷体_GB2312" w:hAnsi="楷体_GB2312" w:eastAsia="楷体_GB2312" w:cs="楷体_GB2312"/>
          <w:b/>
          <w:bCs/>
          <w:sz w:val="32"/>
          <w:szCs w:val="32"/>
        </w:rPr>
        <w:t>5、坚持人民至上，服务群众，安全出行更有保障。</w:t>
      </w:r>
      <w:r>
        <w:rPr>
          <w:rFonts w:hint="eastAsia" w:ascii="仿宋_GB2312" w:hAnsi="Calibri" w:eastAsia="仿宋_GB2312" w:cs="黑体"/>
          <w:color w:val="000000"/>
          <w:kern w:val="0"/>
          <w:sz w:val="32"/>
          <w:szCs w:val="32"/>
          <w:lang w:val="en-US" w:eastAsia="zh-CN" w:bidi="ar-SA"/>
        </w:rPr>
        <w:t>将不断满足人民群众安全出行需求作为工作重心，大力推进公路顽瘴痼疾治理。销号省市顽瘴痼疾交办件172件及安全隐患督办件2件、宁乡市道安委安全隐患交办件652件，排查整改校车线路安全隐患430处，办结率均为100%。实施危桥改造16座，完成X104线等7处公路边坡小型地质灾害治理，有效排查全市4000余公里国省干线和县乡公路的临水临崖、急弯陡坡等隐患地段，完成119条线路共1399个隐患点的整治，实施生命安全防护工程231.711公里。加强汛期和冰雪天气下公路巡查，有效处置公路隐患100余起，期间我市公路无中断和长时间堵塞，无因水毁、冰冻等天气因素引发的安全事故，及时预警和处置G234烂山峡段塌方和Y998边坡塌方，受到省公路事务中心全省通报表扬。</w:t>
      </w:r>
    </w:p>
    <w:p>
      <w:pPr>
        <w:spacing w:line="600" w:lineRule="exact"/>
        <w:ind w:firstLine="612" w:firstLineChars="196"/>
        <w:jc w:val="left"/>
        <w:rPr>
          <w:rFonts w:ascii="Times New Roman" w:hAnsi="Times New Roman" w:eastAsia="仿宋_GB2312"/>
          <w:sz w:val="32"/>
          <w:szCs w:val="32"/>
        </w:rPr>
      </w:pPr>
      <w:r>
        <w:rPr>
          <w:rFonts w:hint="eastAsia" w:ascii="楷体_GB2312" w:hAnsi="Times New Roman" w:eastAsia="楷体_GB2312"/>
          <w:b/>
          <w:sz w:val="32"/>
          <w:szCs w:val="32"/>
        </w:rPr>
        <w:t>（二）</w:t>
      </w:r>
      <w:r>
        <w:rPr>
          <w:rFonts w:ascii="Times New Roman" w:hAnsi="Times New Roman" w:eastAsia="仿宋_GB2312"/>
          <w:sz w:val="32"/>
          <w:szCs w:val="32"/>
        </w:rPr>
        <w:t>部门整体支出规模、使用方向和主要内容、涉及范围等。</w:t>
      </w:r>
    </w:p>
    <w:p>
      <w:pPr>
        <w:ind w:firstLine="624" w:firstLineChars="200"/>
        <w:rPr>
          <w:rFonts w:hint="eastAsia" w:ascii="仿宋_GB2312" w:hAnsi="Calibri" w:eastAsia="仿宋_GB2312" w:cs="黑体"/>
          <w:color w:val="000000"/>
          <w:kern w:val="0"/>
          <w:sz w:val="32"/>
          <w:szCs w:val="32"/>
          <w:lang w:val="en-US" w:eastAsia="zh-CN" w:bidi="ar-SA"/>
        </w:rPr>
      </w:pPr>
      <w:r>
        <w:rPr>
          <w:rFonts w:hint="eastAsia" w:ascii="仿宋_GB2312" w:hAnsi="Calibri" w:eastAsia="仿宋_GB2312" w:cs="黑体"/>
          <w:color w:val="000000"/>
          <w:kern w:val="0"/>
          <w:sz w:val="32"/>
          <w:szCs w:val="32"/>
          <w:lang w:val="en-US" w:eastAsia="zh-CN" w:bidi="ar-SA"/>
        </w:rPr>
        <w:t>我中心</w:t>
      </w:r>
      <w:r>
        <w:rPr>
          <w:rFonts w:hint="eastAsia" w:ascii="仿宋_GB2312" w:eastAsia="仿宋_GB2312" w:cs="黑体"/>
          <w:color w:val="000000"/>
          <w:kern w:val="0"/>
          <w:sz w:val="32"/>
          <w:szCs w:val="32"/>
          <w:lang w:val="en-US" w:eastAsia="zh-CN" w:bidi="ar-SA"/>
        </w:rPr>
        <w:t>2020</w:t>
      </w:r>
      <w:r>
        <w:rPr>
          <w:rFonts w:hint="eastAsia" w:ascii="仿宋_GB2312" w:hAnsi="Calibri" w:eastAsia="仿宋_GB2312" w:cs="黑体"/>
          <w:color w:val="000000"/>
          <w:kern w:val="0"/>
          <w:sz w:val="32"/>
          <w:szCs w:val="32"/>
          <w:lang w:val="en-US" w:eastAsia="zh-CN" w:bidi="ar-SA"/>
        </w:rPr>
        <w:t>年总支出</w:t>
      </w:r>
      <w:r>
        <w:rPr>
          <w:rFonts w:hint="eastAsia" w:ascii="仿宋_GB2312" w:hAnsi="仿宋" w:eastAsia="仿宋_GB2312"/>
          <w:sz w:val="32"/>
          <w:szCs w:val="32"/>
        </w:rPr>
        <w:t>32582.36</w:t>
      </w:r>
      <w:r>
        <w:rPr>
          <w:rFonts w:hint="eastAsia" w:ascii="仿宋_GB2312" w:hAnsi="Calibri" w:eastAsia="仿宋_GB2312" w:cs="黑体"/>
          <w:color w:val="000000"/>
          <w:kern w:val="0"/>
          <w:sz w:val="32"/>
          <w:szCs w:val="32"/>
          <w:lang w:val="en-US" w:eastAsia="zh-CN" w:bidi="ar-SA"/>
        </w:rPr>
        <w:t>万元，其中：基本支出</w:t>
      </w:r>
      <w:r>
        <w:rPr>
          <w:rFonts w:hint="eastAsia" w:ascii="仿宋_GB2312" w:eastAsia="仿宋_GB2312" w:cs="黑体"/>
          <w:color w:val="000000"/>
          <w:kern w:val="0"/>
          <w:sz w:val="32"/>
          <w:szCs w:val="32"/>
          <w:lang w:val="en-US" w:eastAsia="zh-CN" w:bidi="ar-SA"/>
        </w:rPr>
        <w:t>5106.55</w:t>
      </w:r>
      <w:r>
        <w:rPr>
          <w:rFonts w:hint="eastAsia" w:ascii="仿宋_GB2312" w:hAnsi="Calibri" w:eastAsia="仿宋_GB2312" w:cs="黑体"/>
          <w:color w:val="000000"/>
          <w:kern w:val="0"/>
          <w:sz w:val="32"/>
          <w:szCs w:val="32"/>
          <w:lang w:val="en-US" w:eastAsia="zh-CN" w:bidi="ar-SA"/>
        </w:rPr>
        <w:t>万元（含人员经费</w:t>
      </w:r>
      <w:r>
        <w:rPr>
          <w:rFonts w:hint="eastAsia" w:ascii="仿宋_GB2312" w:eastAsia="仿宋_GB2312" w:cs="黑体"/>
          <w:color w:val="000000"/>
          <w:kern w:val="0"/>
          <w:sz w:val="32"/>
          <w:szCs w:val="32"/>
          <w:lang w:val="en-US" w:eastAsia="zh-CN" w:bidi="ar-SA"/>
        </w:rPr>
        <w:t>4871.2</w:t>
      </w:r>
      <w:r>
        <w:rPr>
          <w:rFonts w:hint="eastAsia" w:ascii="仿宋_GB2312" w:hAnsi="Calibri" w:eastAsia="仿宋_GB2312" w:cs="黑体"/>
          <w:color w:val="000000"/>
          <w:kern w:val="0"/>
          <w:sz w:val="32"/>
          <w:szCs w:val="32"/>
          <w:lang w:val="en-US" w:eastAsia="zh-CN" w:bidi="ar-SA"/>
        </w:rPr>
        <w:t>万元、日常公用经费</w:t>
      </w:r>
      <w:r>
        <w:rPr>
          <w:rFonts w:hint="eastAsia" w:ascii="仿宋_GB2312" w:eastAsia="仿宋_GB2312" w:cs="黑体"/>
          <w:color w:val="000000"/>
          <w:kern w:val="0"/>
          <w:sz w:val="32"/>
          <w:szCs w:val="32"/>
          <w:lang w:val="en-US" w:eastAsia="zh-CN" w:bidi="ar-SA"/>
        </w:rPr>
        <w:t>235.34</w:t>
      </w:r>
      <w:r>
        <w:rPr>
          <w:rFonts w:hint="eastAsia" w:ascii="仿宋_GB2312" w:hAnsi="Calibri" w:eastAsia="仿宋_GB2312" w:cs="黑体"/>
          <w:color w:val="000000"/>
          <w:kern w:val="0"/>
          <w:sz w:val="32"/>
          <w:szCs w:val="32"/>
          <w:lang w:val="en-US" w:eastAsia="zh-CN" w:bidi="ar-SA"/>
        </w:rPr>
        <w:t>万元），占总支出的</w:t>
      </w:r>
      <w:r>
        <w:rPr>
          <w:rFonts w:hint="eastAsia" w:ascii="仿宋_GB2312" w:eastAsia="仿宋_GB2312" w:cs="黑体"/>
          <w:color w:val="000000"/>
          <w:kern w:val="0"/>
          <w:sz w:val="32"/>
          <w:szCs w:val="32"/>
          <w:lang w:val="en-US" w:eastAsia="zh-CN" w:bidi="ar-SA"/>
        </w:rPr>
        <w:t>15.67</w:t>
      </w:r>
      <w:r>
        <w:rPr>
          <w:rFonts w:hint="eastAsia" w:ascii="仿宋_GB2312" w:hAnsi="Calibri" w:eastAsia="仿宋_GB2312" w:cs="黑体"/>
          <w:color w:val="000000"/>
          <w:kern w:val="0"/>
          <w:sz w:val="32"/>
          <w:szCs w:val="32"/>
          <w:lang w:val="en-US" w:eastAsia="zh-CN" w:bidi="ar-SA"/>
        </w:rPr>
        <w:t>%；项目支出</w:t>
      </w:r>
      <w:r>
        <w:rPr>
          <w:rFonts w:hint="eastAsia" w:ascii="仿宋_GB2312" w:eastAsia="仿宋_GB2312" w:cs="黑体"/>
          <w:color w:val="000000"/>
          <w:kern w:val="0"/>
          <w:sz w:val="32"/>
          <w:szCs w:val="32"/>
          <w:lang w:val="en-US" w:eastAsia="zh-CN" w:bidi="ar-SA"/>
        </w:rPr>
        <w:t>27475.81</w:t>
      </w:r>
      <w:r>
        <w:rPr>
          <w:rFonts w:hint="eastAsia" w:ascii="仿宋_GB2312" w:hAnsi="Calibri" w:eastAsia="仿宋_GB2312" w:cs="黑体"/>
          <w:color w:val="000000"/>
          <w:kern w:val="0"/>
          <w:sz w:val="32"/>
          <w:szCs w:val="32"/>
          <w:lang w:val="en-US" w:eastAsia="zh-CN" w:bidi="ar-SA"/>
        </w:rPr>
        <w:t>万元（含社会保障和就业支出</w:t>
      </w:r>
      <w:r>
        <w:rPr>
          <w:rFonts w:hint="eastAsia" w:ascii="仿宋_GB2312" w:eastAsia="仿宋_GB2312" w:cs="黑体"/>
          <w:color w:val="000000"/>
          <w:kern w:val="0"/>
          <w:sz w:val="32"/>
          <w:szCs w:val="32"/>
          <w:lang w:val="en-US" w:eastAsia="zh-CN" w:bidi="ar-SA"/>
        </w:rPr>
        <w:t>57.65</w:t>
      </w:r>
      <w:r>
        <w:rPr>
          <w:rFonts w:hint="eastAsia" w:ascii="仿宋_GB2312" w:hAnsi="Calibri" w:eastAsia="仿宋_GB2312" w:cs="黑体"/>
          <w:color w:val="000000"/>
          <w:kern w:val="0"/>
          <w:sz w:val="32"/>
          <w:szCs w:val="32"/>
          <w:lang w:val="en-US" w:eastAsia="zh-CN" w:bidi="ar-SA"/>
        </w:rPr>
        <w:t>万元、农林水支出</w:t>
      </w:r>
      <w:r>
        <w:rPr>
          <w:rFonts w:hint="eastAsia" w:ascii="仿宋_GB2312" w:eastAsia="仿宋_GB2312" w:cs="黑体"/>
          <w:color w:val="000000"/>
          <w:kern w:val="0"/>
          <w:sz w:val="32"/>
          <w:szCs w:val="32"/>
          <w:lang w:val="en-US" w:eastAsia="zh-CN" w:bidi="ar-SA"/>
        </w:rPr>
        <w:t>573.3</w:t>
      </w:r>
      <w:r>
        <w:rPr>
          <w:rFonts w:hint="eastAsia" w:ascii="仿宋_GB2312" w:hAnsi="Calibri" w:eastAsia="仿宋_GB2312" w:cs="黑体"/>
          <w:color w:val="000000"/>
          <w:kern w:val="0"/>
          <w:sz w:val="32"/>
          <w:szCs w:val="32"/>
          <w:lang w:val="en-US" w:eastAsia="zh-CN" w:bidi="ar-SA"/>
        </w:rPr>
        <w:t>万元、交通运输支出</w:t>
      </w:r>
      <w:r>
        <w:rPr>
          <w:rFonts w:hint="eastAsia" w:ascii="仿宋_GB2312" w:eastAsia="仿宋_GB2312" w:cs="黑体"/>
          <w:color w:val="000000"/>
          <w:kern w:val="0"/>
          <w:sz w:val="32"/>
          <w:szCs w:val="32"/>
          <w:lang w:val="en-US" w:eastAsia="zh-CN" w:bidi="ar-SA"/>
        </w:rPr>
        <w:t>24574.86</w:t>
      </w:r>
      <w:r>
        <w:rPr>
          <w:rFonts w:hint="eastAsia" w:ascii="仿宋_GB2312" w:hAnsi="Calibri" w:eastAsia="仿宋_GB2312" w:cs="黑体"/>
          <w:color w:val="000000"/>
          <w:kern w:val="0"/>
          <w:sz w:val="32"/>
          <w:szCs w:val="32"/>
          <w:lang w:val="en-US" w:eastAsia="zh-CN" w:bidi="ar-SA"/>
        </w:rPr>
        <w:t>万元</w:t>
      </w:r>
      <w:r>
        <w:rPr>
          <w:rFonts w:hint="eastAsia" w:ascii="仿宋_GB2312" w:eastAsia="仿宋_GB2312" w:cs="黑体"/>
          <w:color w:val="000000"/>
          <w:kern w:val="0"/>
          <w:sz w:val="32"/>
          <w:szCs w:val="32"/>
          <w:lang w:val="en-US" w:eastAsia="zh-CN" w:bidi="ar-SA"/>
        </w:rPr>
        <w:t>、抗疫特别国债安排的支出2270万元</w:t>
      </w:r>
      <w:r>
        <w:rPr>
          <w:rFonts w:hint="eastAsia" w:ascii="仿宋_GB2312" w:hAnsi="Calibri" w:eastAsia="仿宋_GB2312" w:cs="黑体"/>
          <w:color w:val="000000"/>
          <w:kern w:val="0"/>
          <w:sz w:val="32"/>
          <w:szCs w:val="32"/>
          <w:lang w:val="en-US" w:eastAsia="zh-CN" w:bidi="ar-SA"/>
        </w:rPr>
        <w:t>），占总支出的</w:t>
      </w:r>
      <w:r>
        <w:rPr>
          <w:rFonts w:hint="eastAsia" w:ascii="仿宋_GB2312" w:eastAsia="仿宋_GB2312" w:cs="黑体"/>
          <w:color w:val="000000"/>
          <w:kern w:val="0"/>
          <w:sz w:val="32"/>
          <w:szCs w:val="32"/>
          <w:lang w:val="en-US" w:eastAsia="zh-CN" w:bidi="ar-SA"/>
        </w:rPr>
        <w:t>84.33</w:t>
      </w:r>
      <w:r>
        <w:rPr>
          <w:rFonts w:hint="eastAsia" w:ascii="仿宋_GB2312" w:hAnsi="Calibri" w:eastAsia="仿宋_GB2312" w:cs="黑体"/>
          <w:color w:val="000000"/>
          <w:kern w:val="0"/>
          <w:sz w:val="32"/>
          <w:szCs w:val="32"/>
          <w:lang w:val="en-US" w:eastAsia="zh-CN" w:bidi="ar-SA"/>
        </w:rPr>
        <w:t>%。</w:t>
      </w:r>
    </w:p>
    <w:p>
      <w:pPr>
        <w:spacing w:line="600" w:lineRule="exact"/>
        <w:ind w:firstLine="612" w:firstLineChars="196"/>
        <w:jc w:val="left"/>
        <w:rPr>
          <w:rFonts w:ascii="Times New Roman" w:hAnsi="Times New Roman" w:eastAsia="黑体"/>
          <w:bCs/>
          <w:sz w:val="32"/>
          <w:szCs w:val="32"/>
        </w:rPr>
      </w:pPr>
      <w:r>
        <w:rPr>
          <w:rFonts w:ascii="Times New Roman" w:hAnsi="Times New Roman" w:eastAsia="黑体"/>
          <w:bCs/>
          <w:sz w:val="32"/>
          <w:szCs w:val="32"/>
        </w:rPr>
        <w:t>二、部门整体支出管理及使用情况</w:t>
      </w:r>
    </w:p>
    <w:p>
      <w:pPr>
        <w:spacing w:line="600" w:lineRule="exact"/>
        <w:ind w:firstLine="612" w:firstLineChars="196"/>
        <w:jc w:val="left"/>
        <w:rPr>
          <w:rFonts w:ascii="Times New Roman" w:hAnsi="Times New Roman" w:eastAsia="楷体_GB2312"/>
          <w:b/>
          <w:bCs/>
          <w:sz w:val="32"/>
          <w:szCs w:val="32"/>
        </w:rPr>
      </w:pPr>
      <w:r>
        <w:rPr>
          <w:rFonts w:ascii="Times New Roman" w:hAnsi="Times New Roman" w:eastAsia="楷体_GB2312"/>
          <w:b/>
          <w:bCs/>
          <w:sz w:val="32"/>
          <w:szCs w:val="32"/>
        </w:rPr>
        <w:t>（一）基本支出</w:t>
      </w:r>
    </w:p>
    <w:p>
      <w:pPr>
        <w:ind w:firstLine="624" w:firstLineChars="200"/>
        <w:rPr>
          <w:rFonts w:hint="eastAsia" w:ascii="仿宋_GB2312" w:hAnsi="Calibri" w:eastAsia="仿宋_GB2312" w:cs="黑体"/>
          <w:color w:val="000000"/>
          <w:kern w:val="0"/>
          <w:sz w:val="32"/>
          <w:szCs w:val="32"/>
          <w:lang w:val="en-US" w:eastAsia="zh-CN" w:bidi="ar-SA"/>
        </w:rPr>
      </w:pPr>
      <w:r>
        <w:rPr>
          <w:rFonts w:hint="eastAsia" w:ascii="仿宋_GB2312" w:eastAsia="仿宋_GB2312" w:cs="黑体"/>
          <w:color w:val="000000"/>
          <w:kern w:val="0"/>
          <w:sz w:val="32"/>
          <w:szCs w:val="32"/>
          <w:lang w:val="en-US" w:eastAsia="zh-CN" w:bidi="ar-SA"/>
        </w:rPr>
        <w:t>2020</w:t>
      </w:r>
      <w:r>
        <w:rPr>
          <w:rFonts w:hint="eastAsia" w:ascii="仿宋_GB2312" w:hAnsi="Calibri" w:eastAsia="仿宋_GB2312" w:cs="黑体"/>
          <w:color w:val="000000"/>
          <w:kern w:val="0"/>
          <w:sz w:val="32"/>
          <w:szCs w:val="32"/>
          <w:lang w:val="en-US" w:eastAsia="zh-CN" w:bidi="ar-SA"/>
        </w:rPr>
        <w:t>年，我中心基本支出5106.55万元，其中人员经费</w:t>
      </w:r>
      <w:r>
        <w:rPr>
          <w:rFonts w:hint="eastAsia" w:ascii="仿宋_GB2312" w:eastAsia="仿宋_GB2312" w:cs="黑体"/>
          <w:color w:val="000000"/>
          <w:kern w:val="0"/>
          <w:sz w:val="32"/>
          <w:szCs w:val="32"/>
          <w:lang w:val="en-US" w:eastAsia="zh-CN" w:bidi="ar-SA"/>
        </w:rPr>
        <w:t>4871.2</w:t>
      </w:r>
      <w:r>
        <w:rPr>
          <w:rFonts w:hint="eastAsia" w:ascii="仿宋_GB2312" w:hAnsi="Calibri" w:eastAsia="仿宋_GB2312" w:cs="黑体"/>
          <w:color w:val="000000"/>
          <w:kern w:val="0"/>
          <w:sz w:val="32"/>
          <w:szCs w:val="32"/>
          <w:lang w:val="en-US" w:eastAsia="zh-CN" w:bidi="ar-SA"/>
        </w:rPr>
        <w:t>万元、日常公用经费</w:t>
      </w:r>
      <w:r>
        <w:rPr>
          <w:rFonts w:hint="eastAsia" w:ascii="仿宋_GB2312" w:eastAsia="仿宋_GB2312" w:cs="黑体"/>
          <w:color w:val="000000"/>
          <w:kern w:val="0"/>
          <w:sz w:val="32"/>
          <w:szCs w:val="32"/>
          <w:lang w:val="en-US" w:eastAsia="zh-CN" w:bidi="ar-SA"/>
        </w:rPr>
        <w:t>235.34</w:t>
      </w:r>
      <w:r>
        <w:rPr>
          <w:rFonts w:hint="eastAsia" w:ascii="仿宋_GB2312" w:hAnsi="Calibri" w:eastAsia="仿宋_GB2312" w:cs="黑体"/>
          <w:color w:val="000000"/>
          <w:kern w:val="0"/>
          <w:sz w:val="32"/>
          <w:szCs w:val="32"/>
          <w:lang w:val="en-US" w:eastAsia="zh-CN" w:bidi="ar-SA"/>
        </w:rPr>
        <w:t>万元。为加强对基本支出的管理，我单位严格执行《关于明确宁乡市行政事业单位公务活动用餐有关事项的通知》（宁财联〔2019〕2号）、《宁乡市财政局关于印发&lt;宁乡市机关事业单位会议费管理办法&gt;的通知》（宁财〔2018〕36号））等文件，按标准发放工资福利，严控公用经费支出。</w:t>
      </w:r>
    </w:p>
    <w:p>
      <w:pPr>
        <w:ind w:firstLine="624" w:firstLineChars="200"/>
        <w:rPr>
          <w:rFonts w:hint="eastAsia" w:ascii="仿宋_GB2312" w:hAnsi="Calibri" w:eastAsia="仿宋_GB2312" w:cs="黑体"/>
          <w:color w:val="000000"/>
          <w:kern w:val="0"/>
          <w:sz w:val="32"/>
          <w:szCs w:val="32"/>
          <w:lang w:val="en-US" w:eastAsia="zh-CN" w:bidi="ar-SA"/>
        </w:rPr>
      </w:pPr>
      <w:r>
        <w:rPr>
          <w:rFonts w:hint="eastAsia" w:ascii="仿宋_GB2312" w:eastAsia="仿宋_GB2312" w:cs="黑体"/>
          <w:color w:val="000000"/>
          <w:kern w:val="0"/>
          <w:sz w:val="32"/>
          <w:szCs w:val="32"/>
          <w:lang w:val="en-US" w:eastAsia="zh-CN" w:bidi="ar-SA"/>
        </w:rPr>
        <w:t>2020</w:t>
      </w:r>
      <w:r>
        <w:rPr>
          <w:rFonts w:hint="eastAsia" w:ascii="仿宋_GB2312" w:hAnsi="Calibri" w:eastAsia="仿宋_GB2312" w:cs="黑体"/>
          <w:color w:val="000000"/>
          <w:kern w:val="0"/>
          <w:sz w:val="32"/>
          <w:szCs w:val="32"/>
          <w:lang w:val="en-US" w:eastAsia="zh-CN" w:bidi="ar-SA"/>
        </w:rPr>
        <w:t>年，我中心日常公用经费较上年减少</w:t>
      </w:r>
      <w:r>
        <w:rPr>
          <w:rFonts w:hint="eastAsia" w:ascii="仿宋_GB2312" w:eastAsia="仿宋_GB2312" w:cs="黑体"/>
          <w:color w:val="000000"/>
          <w:kern w:val="0"/>
          <w:sz w:val="32"/>
          <w:szCs w:val="32"/>
          <w:lang w:val="en-US" w:eastAsia="zh-CN" w:bidi="ar-SA"/>
        </w:rPr>
        <w:t>97.84</w:t>
      </w:r>
      <w:r>
        <w:rPr>
          <w:rFonts w:hint="eastAsia" w:ascii="仿宋_GB2312" w:hAnsi="Calibri" w:eastAsia="仿宋_GB2312" w:cs="黑体"/>
          <w:color w:val="000000"/>
          <w:kern w:val="0"/>
          <w:sz w:val="32"/>
          <w:szCs w:val="32"/>
          <w:lang w:val="en-US" w:eastAsia="zh-CN" w:bidi="ar-SA"/>
        </w:rPr>
        <w:t>万元，同比减少</w:t>
      </w:r>
      <w:r>
        <w:rPr>
          <w:rFonts w:hint="eastAsia" w:ascii="仿宋_GB2312" w:eastAsia="仿宋_GB2312" w:cs="黑体"/>
          <w:color w:val="000000"/>
          <w:kern w:val="0"/>
          <w:sz w:val="32"/>
          <w:szCs w:val="32"/>
          <w:lang w:val="en-US" w:eastAsia="zh-CN" w:bidi="ar-SA"/>
        </w:rPr>
        <w:t>29.36</w:t>
      </w:r>
      <w:r>
        <w:rPr>
          <w:rFonts w:hint="eastAsia" w:ascii="仿宋_GB2312" w:hAnsi="Calibri" w:eastAsia="仿宋_GB2312" w:cs="黑体"/>
          <w:color w:val="000000"/>
          <w:kern w:val="0"/>
          <w:sz w:val="32"/>
          <w:szCs w:val="32"/>
          <w:lang w:val="en-US" w:eastAsia="zh-CN" w:bidi="ar-SA"/>
        </w:rPr>
        <w:t>%。其中 “三公经费”支出</w:t>
      </w:r>
      <w:r>
        <w:rPr>
          <w:rFonts w:hint="eastAsia" w:ascii="仿宋_GB2312" w:eastAsia="仿宋_GB2312" w:cs="黑体"/>
          <w:color w:val="000000"/>
          <w:kern w:val="0"/>
          <w:sz w:val="32"/>
          <w:szCs w:val="32"/>
          <w:lang w:val="en-US" w:eastAsia="zh-CN" w:bidi="ar-SA"/>
        </w:rPr>
        <w:t>38.94</w:t>
      </w:r>
      <w:r>
        <w:rPr>
          <w:rFonts w:hint="eastAsia" w:ascii="仿宋_GB2312" w:hAnsi="Calibri" w:eastAsia="仿宋_GB2312" w:cs="黑体"/>
          <w:color w:val="000000"/>
          <w:kern w:val="0"/>
          <w:sz w:val="32"/>
          <w:szCs w:val="32"/>
          <w:lang w:val="en-US" w:eastAsia="zh-CN" w:bidi="ar-SA"/>
        </w:rPr>
        <w:t>万元，较</w:t>
      </w:r>
      <w:r>
        <w:rPr>
          <w:rFonts w:hint="eastAsia" w:ascii="仿宋_GB2312" w:eastAsia="仿宋_GB2312" w:cs="黑体"/>
          <w:color w:val="000000"/>
          <w:kern w:val="0"/>
          <w:sz w:val="32"/>
          <w:szCs w:val="32"/>
          <w:lang w:val="en-US" w:eastAsia="zh-CN" w:bidi="ar-SA"/>
        </w:rPr>
        <w:t>2019</w:t>
      </w:r>
      <w:r>
        <w:rPr>
          <w:rFonts w:hint="eastAsia" w:ascii="仿宋_GB2312" w:hAnsi="Calibri" w:eastAsia="仿宋_GB2312" w:cs="黑体"/>
          <w:color w:val="000000"/>
          <w:kern w:val="0"/>
          <w:sz w:val="32"/>
          <w:szCs w:val="32"/>
          <w:lang w:val="en-US" w:eastAsia="zh-CN" w:bidi="ar-SA"/>
        </w:rPr>
        <w:t>年减少15.</w:t>
      </w:r>
      <w:r>
        <w:rPr>
          <w:rFonts w:hint="eastAsia" w:ascii="仿宋_GB2312" w:eastAsia="仿宋_GB2312" w:cs="黑体"/>
          <w:color w:val="000000"/>
          <w:kern w:val="0"/>
          <w:sz w:val="32"/>
          <w:szCs w:val="32"/>
          <w:lang w:val="en-US" w:eastAsia="zh-CN" w:bidi="ar-SA"/>
        </w:rPr>
        <w:t>85</w:t>
      </w:r>
      <w:r>
        <w:rPr>
          <w:rFonts w:hint="eastAsia" w:ascii="仿宋_GB2312" w:hAnsi="Calibri" w:eastAsia="仿宋_GB2312" w:cs="黑体"/>
          <w:color w:val="000000"/>
          <w:kern w:val="0"/>
          <w:sz w:val="32"/>
          <w:szCs w:val="32"/>
          <w:lang w:val="en-US" w:eastAsia="zh-CN" w:bidi="ar-SA"/>
        </w:rPr>
        <w:t>万元，同比减少</w:t>
      </w:r>
      <w:r>
        <w:rPr>
          <w:rFonts w:hint="eastAsia" w:ascii="仿宋_GB2312" w:eastAsia="仿宋_GB2312" w:cs="黑体"/>
          <w:color w:val="000000"/>
          <w:kern w:val="0"/>
          <w:sz w:val="32"/>
          <w:szCs w:val="32"/>
          <w:lang w:val="en-US" w:eastAsia="zh-CN" w:bidi="ar-SA"/>
        </w:rPr>
        <w:t>28.93</w:t>
      </w:r>
      <w:r>
        <w:rPr>
          <w:rFonts w:hint="eastAsia" w:ascii="仿宋_GB2312" w:hAnsi="Calibri" w:eastAsia="仿宋_GB2312" w:cs="黑体"/>
          <w:color w:val="000000"/>
          <w:kern w:val="0"/>
          <w:sz w:val="32"/>
          <w:szCs w:val="32"/>
          <w:lang w:val="en-US" w:eastAsia="zh-CN" w:bidi="ar-SA"/>
        </w:rPr>
        <w:t>%。“三公经费”支出含公务用车运行维护费支出</w:t>
      </w:r>
      <w:r>
        <w:rPr>
          <w:rFonts w:hint="eastAsia" w:ascii="仿宋_GB2312" w:eastAsia="仿宋_GB2312" w:cs="黑体"/>
          <w:color w:val="000000"/>
          <w:kern w:val="0"/>
          <w:sz w:val="32"/>
          <w:szCs w:val="32"/>
          <w:lang w:val="en-US" w:eastAsia="zh-CN" w:bidi="ar-SA"/>
        </w:rPr>
        <w:t>34.71</w:t>
      </w:r>
      <w:r>
        <w:rPr>
          <w:rFonts w:hint="eastAsia" w:ascii="仿宋_GB2312" w:hAnsi="Calibri" w:eastAsia="仿宋_GB2312" w:cs="黑体"/>
          <w:color w:val="000000"/>
          <w:kern w:val="0"/>
          <w:sz w:val="32"/>
          <w:szCs w:val="32"/>
          <w:lang w:val="en-US" w:eastAsia="zh-CN" w:bidi="ar-SA"/>
        </w:rPr>
        <w:t>万元，较</w:t>
      </w:r>
      <w:r>
        <w:rPr>
          <w:rFonts w:hint="eastAsia" w:ascii="仿宋_GB2312" w:eastAsia="仿宋_GB2312" w:cs="黑体"/>
          <w:color w:val="000000"/>
          <w:kern w:val="0"/>
          <w:sz w:val="32"/>
          <w:szCs w:val="32"/>
          <w:lang w:val="en-US" w:eastAsia="zh-CN" w:bidi="ar-SA"/>
        </w:rPr>
        <w:t>2019</w:t>
      </w:r>
      <w:r>
        <w:rPr>
          <w:rFonts w:hint="eastAsia" w:ascii="仿宋_GB2312" w:hAnsi="Calibri" w:eastAsia="仿宋_GB2312" w:cs="黑体"/>
          <w:color w:val="000000"/>
          <w:kern w:val="0"/>
          <w:sz w:val="32"/>
          <w:szCs w:val="32"/>
          <w:lang w:val="en-US" w:eastAsia="zh-CN" w:bidi="ar-SA"/>
        </w:rPr>
        <w:t>年减少</w:t>
      </w:r>
      <w:r>
        <w:rPr>
          <w:rFonts w:hint="eastAsia" w:ascii="仿宋_GB2312" w:eastAsia="仿宋_GB2312" w:cs="黑体"/>
          <w:color w:val="000000"/>
          <w:kern w:val="0"/>
          <w:sz w:val="32"/>
          <w:szCs w:val="32"/>
          <w:lang w:val="en-US" w:eastAsia="zh-CN" w:bidi="ar-SA"/>
        </w:rPr>
        <w:t>14.76</w:t>
      </w:r>
      <w:r>
        <w:rPr>
          <w:rFonts w:hint="eastAsia" w:ascii="仿宋_GB2312" w:hAnsi="Calibri" w:eastAsia="仿宋_GB2312" w:cs="黑体"/>
          <w:color w:val="000000"/>
          <w:kern w:val="0"/>
          <w:sz w:val="32"/>
          <w:szCs w:val="32"/>
          <w:lang w:val="en-US" w:eastAsia="zh-CN" w:bidi="ar-SA"/>
        </w:rPr>
        <w:t xml:space="preserve"> 万元，同比减少</w:t>
      </w:r>
      <w:r>
        <w:rPr>
          <w:rFonts w:hint="eastAsia" w:ascii="仿宋_GB2312" w:eastAsia="仿宋_GB2312" w:cs="黑体"/>
          <w:color w:val="000000"/>
          <w:kern w:val="0"/>
          <w:sz w:val="32"/>
          <w:szCs w:val="32"/>
          <w:lang w:val="en-US" w:eastAsia="zh-CN" w:bidi="ar-SA"/>
        </w:rPr>
        <w:t>29.84</w:t>
      </w:r>
      <w:r>
        <w:rPr>
          <w:rFonts w:hint="eastAsia" w:ascii="仿宋_GB2312" w:hAnsi="Calibri" w:eastAsia="仿宋_GB2312" w:cs="黑体"/>
          <w:color w:val="000000"/>
          <w:kern w:val="0"/>
          <w:sz w:val="32"/>
          <w:szCs w:val="32"/>
          <w:lang w:val="en-US" w:eastAsia="zh-CN" w:bidi="ar-SA"/>
        </w:rPr>
        <w:t>%；公务接待费支出</w:t>
      </w:r>
      <w:r>
        <w:rPr>
          <w:rFonts w:hint="eastAsia" w:ascii="仿宋_GB2312" w:eastAsia="仿宋_GB2312" w:cs="黑体"/>
          <w:color w:val="000000"/>
          <w:kern w:val="0"/>
          <w:sz w:val="32"/>
          <w:szCs w:val="32"/>
          <w:lang w:val="en-US" w:eastAsia="zh-CN" w:bidi="ar-SA"/>
        </w:rPr>
        <w:t>4.22</w:t>
      </w:r>
      <w:r>
        <w:rPr>
          <w:rFonts w:hint="eastAsia" w:ascii="仿宋_GB2312" w:hAnsi="Calibri" w:eastAsia="仿宋_GB2312" w:cs="黑体"/>
          <w:color w:val="000000"/>
          <w:kern w:val="0"/>
          <w:sz w:val="32"/>
          <w:szCs w:val="32"/>
          <w:lang w:val="en-US" w:eastAsia="zh-CN" w:bidi="ar-SA"/>
        </w:rPr>
        <w:t>万元，较201</w:t>
      </w:r>
      <w:r>
        <w:rPr>
          <w:rFonts w:hint="eastAsia" w:ascii="仿宋_GB2312" w:eastAsia="仿宋_GB2312" w:cs="黑体"/>
          <w:color w:val="000000"/>
          <w:kern w:val="0"/>
          <w:sz w:val="32"/>
          <w:szCs w:val="32"/>
          <w:lang w:val="en-US" w:eastAsia="zh-CN" w:bidi="ar-SA"/>
        </w:rPr>
        <w:t>9</w:t>
      </w:r>
      <w:r>
        <w:rPr>
          <w:rFonts w:hint="eastAsia" w:ascii="仿宋_GB2312" w:hAnsi="Calibri" w:eastAsia="仿宋_GB2312" w:cs="黑体"/>
          <w:color w:val="000000"/>
          <w:kern w:val="0"/>
          <w:sz w:val="32"/>
          <w:szCs w:val="32"/>
          <w:lang w:val="en-US" w:eastAsia="zh-CN" w:bidi="ar-SA"/>
        </w:rPr>
        <w:t>年减少</w:t>
      </w:r>
      <w:r>
        <w:rPr>
          <w:rFonts w:hint="eastAsia" w:ascii="仿宋_GB2312" w:eastAsia="仿宋_GB2312" w:cs="黑体"/>
          <w:color w:val="000000"/>
          <w:kern w:val="0"/>
          <w:sz w:val="32"/>
          <w:szCs w:val="32"/>
          <w:lang w:val="en-US" w:eastAsia="zh-CN" w:bidi="ar-SA"/>
        </w:rPr>
        <w:t>1.09</w:t>
      </w:r>
      <w:r>
        <w:rPr>
          <w:rFonts w:hint="eastAsia" w:ascii="仿宋_GB2312" w:hAnsi="Calibri" w:eastAsia="仿宋_GB2312" w:cs="黑体"/>
          <w:color w:val="000000"/>
          <w:kern w:val="0"/>
          <w:sz w:val="32"/>
          <w:szCs w:val="32"/>
          <w:lang w:val="en-US" w:eastAsia="zh-CN" w:bidi="ar-SA"/>
        </w:rPr>
        <w:t>万元，同比减少</w:t>
      </w:r>
      <w:r>
        <w:rPr>
          <w:rFonts w:hint="eastAsia" w:ascii="仿宋_GB2312" w:eastAsia="仿宋_GB2312" w:cs="黑体"/>
          <w:color w:val="000000"/>
          <w:kern w:val="0"/>
          <w:sz w:val="32"/>
          <w:szCs w:val="32"/>
          <w:lang w:val="en-US" w:eastAsia="zh-CN" w:bidi="ar-SA"/>
        </w:rPr>
        <w:t>20.49</w:t>
      </w:r>
      <w:r>
        <w:rPr>
          <w:rFonts w:hint="eastAsia" w:ascii="仿宋_GB2312" w:hAnsi="Calibri" w:eastAsia="仿宋_GB2312" w:cs="黑体"/>
          <w:color w:val="000000"/>
          <w:kern w:val="0"/>
          <w:sz w:val="32"/>
          <w:szCs w:val="32"/>
          <w:lang w:val="en-US" w:eastAsia="zh-CN" w:bidi="ar-SA"/>
        </w:rPr>
        <w:t>%。本年，我单位严格落实财政要求，严控支出额度，加强对公用车辆的管理，节俭公务接待，从而使得“三公经费”支出明显减少。</w:t>
      </w:r>
    </w:p>
    <w:p>
      <w:pPr>
        <w:spacing w:line="600" w:lineRule="exact"/>
        <w:ind w:firstLine="612" w:firstLineChars="196"/>
        <w:jc w:val="left"/>
        <w:rPr>
          <w:rFonts w:ascii="Times New Roman" w:hAnsi="Times New Roman" w:eastAsia="楷体_GB2312"/>
          <w:b/>
          <w:bCs/>
          <w:sz w:val="32"/>
          <w:szCs w:val="32"/>
        </w:rPr>
      </w:pPr>
      <w:r>
        <w:rPr>
          <w:rFonts w:ascii="Times New Roman" w:hAnsi="Times New Roman" w:eastAsia="楷体_GB2312"/>
          <w:b/>
          <w:bCs/>
          <w:sz w:val="32"/>
          <w:szCs w:val="32"/>
        </w:rPr>
        <w:t>（二）项目支出</w:t>
      </w:r>
    </w:p>
    <w:p>
      <w:pPr>
        <w:spacing w:line="600" w:lineRule="exact"/>
        <w:ind w:firstLine="612" w:firstLineChars="196"/>
        <w:jc w:val="left"/>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w:t>
      </w:r>
      <w:r>
        <w:rPr>
          <w:rFonts w:ascii="Times New Roman" w:hAnsi="Times New Roman" w:eastAsia="仿宋_GB2312"/>
          <w:sz w:val="32"/>
          <w:szCs w:val="32"/>
        </w:rPr>
        <w:t>项目资金</w:t>
      </w:r>
      <w:r>
        <w:rPr>
          <w:rFonts w:hint="eastAsia" w:ascii="Times New Roman" w:hAnsi="Times New Roman" w:eastAsia="仿宋_GB2312"/>
          <w:sz w:val="32"/>
          <w:szCs w:val="32"/>
        </w:rPr>
        <w:t>投入使用</w:t>
      </w:r>
      <w:r>
        <w:rPr>
          <w:rFonts w:ascii="Times New Roman" w:hAnsi="Times New Roman" w:eastAsia="仿宋_GB2312"/>
          <w:sz w:val="32"/>
          <w:szCs w:val="32"/>
        </w:rPr>
        <w:t>情况分析。</w:t>
      </w:r>
    </w:p>
    <w:p>
      <w:pPr>
        <w:spacing w:line="600" w:lineRule="exact"/>
        <w:ind w:firstLine="612" w:firstLineChars="196"/>
        <w:jc w:val="left"/>
        <w:rPr>
          <w:rFonts w:ascii="仿宋_GB2312" w:hAnsi="仿宋" w:eastAsia="仿宋_GB2312"/>
          <w:sz w:val="32"/>
          <w:szCs w:val="32"/>
        </w:rPr>
      </w:pPr>
      <w:r>
        <w:rPr>
          <w:rFonts w:hint="eastAsia" w:ascii="仿宋_GB2312" w:hAnsi="仿宋" w:eastAsia="仿宋_GB2312"/>
          <w:sz w:val="32"/>
          <w:szCs w:val="32"/>
          <w:lang w:val="en-US" w:eastAsia="zh-CN"/>
        </w:rPr>
        <w:t>2020</w:t>
      </w:r>
      <w:r>
        <w:rPr>
          <w:rFonts w:hint="eastAsia" w:ascii="仿宋_GB2312" w:hAnsi="仿宋" w:eastAsia="仿宋_GB2312"/>
          <w:sz w:val="32"/>
          <w:szCs w:val="32"/>
        </w:rPr>
        <w:t>年我中心项目资金到位</w:t>
      </w:r>
      <w:r>
        <w:rPr>
          <w:rFonts w:hint="eastAsia" w:ascii="仿宋_GB2312" w:hAnsi="仿宋" w:eastAsia="仿宋_GB2312"/>
          <w:sz w:val="32"/>
          <w:szCs w:val="32"/>
          <w:lang w:val="en-US" w:eastAsia="zh-CN"/>
        </w:rPr>
        <w:t>27475.81</w:t>
      </w:r>
      <w:r>
        <w:rPr>
          <w:rFonts w:hint="eastAsia" w:ascii="仿宋_GB2312" w:hAnsi="仿宋" w:eastAsia="仿宋_GB2312"/>
          <w:sz w:val="32"/>
          <w:szCs w:val="32"/>
        </w:rPr>
        <w:t>万元。主要用于</w:t>
      </w:r>
      <w:r>
        <w:rPr>
          <w:rFonts w:hint="eastAsia" w:ascii="仿宋_GB2312" w:hAnsi="Calibri" w:eastAsia="仿宋_GB2312" w:cs="黑体"/>
          <w:color w:val="000000"/>
          <w:kern w:val="0"/>
          <w:sz w:val="32"/>
          <w:szCs w:val="32"/>
          <w:lang w:val="en-US" w:eastAsia="zh-CN" w:bidi="ar-SA"/>
        </w:rPr>
        <w:t>社会保障和就业支出</w:t>
      </w:r>
      <w:r>
        <w:rPr>
          <w:rFonts w:hint="eastAsia" w:ascii="仿宋_GB2312" w:eastAsia="仿宋_GB2312" w:cs="黑体"/>
          <w:color w:val="000000"/>
          <w:kern w:val="0"/>
          <w:sz w:val="32"/>
          <w:szCs w:val="32"/>
          <w:lang w:val="en-US" w:eastAsia="zh-CN" w:bidi="ar-SA"/>
        </w:rPr>
        <w:t>57.65</w:t>
      </w:r>
      <w:r>
        <w:rPr>
          <w:rFonts w:hint="eastAsia" w:ascii="仿宋_GB2312" w:hAnsi="Calibri" w:eastAsia="仿宋_GB2312" w:cs="黑体"/>
          <w:color w:val="000000"/>
          <w:kern w:val="0"/>
          <w:sz w:val="32"/>
          <w:szCs w:val="32"/>
          <w:lang w:val="en-US" w:eastAsia="zh-CN" w:bidi="ar-SA"/>
        </w:rPr>
        <w:t>万元、农林水支出</w:t>
      </w:r>
      <w:r>
        <w:rPr>
          <w:rFonts w:hint="eastAsia" w:ascii="仿宋_GB2312" w:eastAsia="仿宋_GB2312" w:cs="黑体"/>
          <w:color w:val="000000"/>
          <w:kern w:val="0"/>
          <w:sz w:val="32"/>
          <w:szCs w:val="32"/>
          <w:lang w:val="en-US" w:eastAsia="zh-CN" w:bidi="ar-SA"/>
        </w:rPr>
        <w:t>573.3</w:t>
      </w:r>
      <w:r>
        <w:rPr>
          <w:rFonts w:hint="eastAsia" w:ascii="仿宋_GB2312" w:hAnsi="Calibri" w:eastAsia="仿宋_GB2312" w:cs="黑体"/>
          <w:color w:val="000000"/>
          <w:kern w:val="0"/>
          <w:sz w:val="32"/>
          <w:szCs w:val="32"/>
          <w:lang w:val="en-US" w:eastAsia="zh-CN" w:bidi="ar-SA"/>
        </w:rPr>
        <w:t>万元、交通运输支出</w:t>
      </w:r>
      <w:r>
        <w:rPr>
          <w:rFonts w:hint="eastAsia" w:ascii="仿宋_GB2312" w:eastAsia="仿宋_GB2312" w:cs="黑体"/>
          <w:color w:val="000000"/>
          <w:kern w:val="0"/>
          <w:sz w:val="32"/>
          <w:szCs w:val="32"/>
          <w:lang w:val="en-US" w:eastAsia="zh-CN" w:bidi="ar-SA"/>
        </w:rPr>
        <w:t>24574.86</w:t>
      </w:r>
      <w:r>
        <w:rPr>
          <w:rFonts w:hint="eastAsia" w:ascii="仿宋_GB2312" w:hAnsi="Calibri" w:eastAsia="仿宋_GB2312" w:cs="黑体"/>
          <w:color w:val="000000"/>
          <w:kern w:val="0"/>
          <w:sz w:val="32"/>
          <w:szCs w:val="32"/>
          <w:lang w:val="en-US" w:eastAsia="zh-CN" w:bidi="ar-SA"/>
        </w:rPr>
        <w:t>万元</w:t>
      </w:r>
      <w:r>
        <w:rPr>
          <w:rFonts w:hint="eastAsia" w:ascii="仿宋_GB2312" w:eastAsia="仿宋_GB2312" w:cs="黑体"/>
          <w:color w:val="000000"/>
          <w:kern w:val="0"/>
          <w:sz w:val="32"/>
          <w:szCs w:val="32"/>
          <w:lang w:val="en-US" w:eastAsia="zh-CN" w:bidi="ar-SA"/>
        </w:rPr>
        <w:t>、抗疫特别国债安排的支出2270万元</w:t>
      </w:r>
      <w:r>
        <w:rPr>
          <w:rFonts w:hint="eastAsia" w:ascii="仿宋_GB2312" w:hAnsi="仿宋" w:eastAsia="仿宋_GB2312"/>
          <w:sz w:val="32"/>
          <w:szCs w:val="32"/>
        </w:rPr>
        <w:t>等。</w:t>
      </w:r>
    </w:p>
    <w:p>
      <w:pPr>
        <w:spacing w:line="600" w:lineRule="exact"/>
        <w:ind w:firstLine="612" w:firstLineChars="196"/>
        <w:jc w:val="left"/>
        <w:rPr>
          <w:rFonts w:ascii="Times New Roman" w:hAnsi="Times New Roman" w:eastAsia="仿宋_GB2312"/>
          <w:sz w:val="32"/>
          <w:szCs w:val="32"/>
        </w:rPr>
      </w:pPr>
      <w:r>
        <w:rPr>
          <w:rFonts w:hint="eastAsia" w:ascii="Times New Roman" w:hAnsi="Times New Roman" w:eastAsia="仿宋_GB2312"/>
          <w:sz w:val="32"/>
          <w:szCs w:val="32"/>
        </w:rPr>
        <w:t>2.</w:t>
      </w:r>
      <w:r>
        <w:rPr>
          <w:rFonts w:ascii="Times New Roman" w:hAnsi="Times New Roman" w:eastAsia="仿宋_GB2312"/>
          <w:sz w:val="32"/>
          <w:szCs w:val="32"/>
        </w:rPr>
        <w:t>项目资金管理情况分析，主要包括管理制度、办法的制订及执行情况。</w:t>
      </w:r>
    </w:p>
    <w:p>
      <w:pPr>
        <w:spacing w:line="600" w:lineRule="exact"/>
        <w:ind w:firstLine="612" w:firstLineChars="196"/>
        <w:jc w:val="left"/>
        <w:rPr>
          <w:rFonts w:hint="eastAsia" w:ascii="仿宋_GB2312" w:eastAsia="仿宋_GB2312" w:cs="黑体"/>
          <w:color w:val="000000"/>
          <w:kern w:val="0"/>
          <w:sz w:val="32"/>
          <w:szCs w:val="32"/>
          <w:lang w:val="en-US" w:eastAsia="zh-CN" w:bidi="ar-SA"/>
        </w:rPr>
      </w:pPr>
      <w:r>
        <w:rPr>
          <w:rFonts w:hint="eastAsia" w:ascii="Times New Roman" w:hAnsi="Times New Roman" w:eastAsia="仿宋_GB2312"/>
          <w:sz w:val="32"/>
          <w:szCs w:val="32"/>
          <w:lang w:val="en-US" w:eastAsia="zh-CN"/>
        </w:rPr>
        <w:t>2</w:t>
      </w:r>
      <w:r>
        <w:rPr>
          <w:rFonts w:hint="eastAsia" w:ascii="仿宋_GB2312" w:eastAsia="仿宋_GB2312" w:cs="黑体"/>
          <w:color w:val="000000"/>
          <w:kern w:val="0"/>
          <w:sz w:val="32"/>
          <w:szCs w:val="32"/>
          <w:lang w:val="en-US" w:eastAsia="zh-CN" w:bidi="ar-SA"/>
        </w:rPr>
        <w:t>020年度项目资金，我中心严格按照《宁乡市人民政府关于印发&lt;宁乡市政府投资建设项目管理实施办法&gt;的通知》(宁政发﹝2018﹞18号)若干规定执行。执行“三重一大”制度，项目资金支付由班子集体决定使用方向和数额后，由分管项目及分管财务领导签批后由中心主任亲自审批支出项目及金额方能支付。建立专项资金专账管理制度，方便随时查阅项目资金使用明细。</w:t>
      </w:r>
    </w:p>
    <w:p>
      <w:pPr>
        <w:spacing w:line="600" w:lineRule="exact"/>
        <w:ind w:firstLine="612" w:firstLineChars="196"/>
        <w:jc w:val="left"/>
        <w:rPr>
          <w:rFonts w:ascii="Times New Roman" w:hAnsi="Times New Roman" w:eastAsia="黑体"/>
          <w:bCs/>
          <w:sz w:val="32"/>
          <w:szCs w:val="32"/>
        </w:rPr>
      </w:pPr>
      <w:r>
        <w:rPr>
          <w:rFonts w:ascii="Times New Roman" w:hAnsi="Times New Roman" w:eastAsia="黑体"/>
          <w:bCs/>
          <w:sz w:val="32"/>
          <w:szCs w:val="32"/>
        </w:rPr>
        <w:t>三、部门项目组织实施情况</w:t>
      </w:r>
    </w:p>
    <w:p>
      <w:pPr>
        <w:spacing w:line="600" w:lineRule="exact"/>
        <w:ind w:firstLine="612" w:firstLineChars="196"/>
        <w:jc w:val="left"/>
        <w:rPr>
          <w:rFonts w:ascii="Times New Roman" w:hAnsi="Times New Roman" w:eastAsia="仿宋_GB2312"/>
          <w:sz w:val="32"/>
          <w:szCs w:val="32"/>
        </w:rPr>
      </w:pPr>
      <w:r>
        <w:rPr>
          <w:rFonts w:hint="eastAsia" w:ascii="楷体_GB2312" w:hAnsi="Times New Roman" w:eastAsia="楷体_GB2312"/>
          <w:b/>
          <w:sz w:val="32"/>
          <w:szCs w:val="32"/>
        </w:rPr>
        <w:t>（一）</w:t>
      </w:r>
      <w:r>
        <w:rPr>
          <w:rFonts w:ascii="Times New Roman" w:hAnsi="Times New Roman" w:eastAsia="仿宋_GB2312"/>
          <w:sz w:val="32"/>
          <w:szCs w:val="32"/>
        </w:rPr>
        <w:t>项目组织情况分析</w:t>
      </w:r>
    </w:p>
    <w:p>
      <w:pPr>
        <w:ind w:firstLine="624" w:firstLineChars="200"/>
        <w:rPr>
          <w:rFonts w:ascii="Times New Roman" w:hAnsi="Times New Roman" w:eastAsia="仿宋_GB2312"/>
          <w:sz w:val="32"/>
          <w:szCs w:val="32"/>
        </w:rPr>
      </w:pPr>
      <w:r>
        <w:rPr>
          <w:rFonts w:hint="eastAsia" w:ascii="仿宋_GB2312" w:eastAsia="仿宋_GB2312" w:cs="黑体"/>
          <w:color w:val="000000"/>
          <w:kern w:val="0"/>
          <w:sz w:val="32"/>
          <w:szCs w:val="32"/>
          <w:lang w:val="en-US" w:eastAsia="zh-CN" w:bidi="ar-SA"/>
        </w:rPr>
        <w:t>对已实施的项目进行全程监理，建设严格按照设计图纸、施工规范要求、相关管理办法等进行施工。现场签证内容均有明细，并经建设单位、监理单位、施工单位三方签字验收证明。</w:t>
      </w:r>
    </w:p>
    <w:p>
      <w:pPr>
        <w:spacing w:line="600" w:lineRule="exact"/>
        <w:ind w:firstLine="612" w:firstLineChars="196"/>
        <w:jc w:val="left"/>
        <w:rPr>
          <w:rFonts w:ascii="Times New Roman" w:hAnsi="Times New Roman" w:eastAsia="仿宋_GB2312"/>
          <w:sz w:val="32"/>
          <w:szCs w:val="32"/>
        </w:rPr>
      </w:pPr>
      <w:r>
        <w:rPr>
          <w:rFonts w:hint="eastAsia" w:ascii="楷体_GB2312" w:hAnsi="Times New Roman" w:eastAsia="楷体_GB2312"/>
          <w:b/>
          <w:sz w:val="32"/>
          <w:szCs w:val="32"/>
        </w:rPr>
        <w:t>（二）</w:t>
      </w:r>
      <w:r>
        <w:rPr>
          <w:rFonts w:ascii="Times New Roman" w:hAnsi="Times New Roman" w:eastAsia="仿宋_GB2312"/>
          <w:sz w:val="32"/>
          <w:szCs w:val="32"/>
        </w:rPr>
        <w:t>项目管理情况分析，主要包括项目管理制度建设、日常检查监督管理等情况。</w:t>
      </w:r>
    </w:p>
    <w:p>
      <w:pPr>
        <w:spacing w:line="600" w:lineRule="exact"/>
        <w:ind w:firstLine="612" w:firstLineChars="196"/>
        <w:jc w:val="left"/>
        <w:rPr>
          <w:rFonts w:ascii="Times New Roman" w:hAnsi="Times New Roman" w:eastAsia="仿宋_GB2312"/>
          <w:sz w:val="32"/>
          <w:szCs w:val="32"/>
        </w:rPr>
      </w:pPr>
      <w:r>
        <w:rPr>
          <w:rFonts w:hint="eastAsia" w:ascii="Times New Roman" w:hAnsi="Times New Roman" w:eastAsia="仿宋_GB2312"/>
          <w:sz w:val="32"/>
          <w:szCs w:val="32"/>
        </w:rPr>
        <w:t>项目建设严格按照《公路工程技术标准》、《公路沥青路面施工技术规范》、《公路工程质量检验评定标准》及施工图设计等执行。结合省市行业管理制度和市局工程管理办法对项目进行管理。本项目自完成招投标及合约签订后，我中心迅速成立项目指挥部指挥部设指挥长、项目技术负责人，指挥部从工程质量、进度、安全、效益等方面对该工程进行全面管理。精心配备了精干、业务能力强的项目管理人员建立了科学合理的项目组织机构，为项目顺利执行起到保障作用。中标施工单位成立项目经理部，中标监理单位设立项目监理处。项目经理部和监理处进行驻地建设，做到各项规章制度健全，驻地文明、整洁、有序，实现高水平、高起点管理模式。</w:t>
      </w:r>
    </w:p>
    <w:p>
      <w:pPr>
        <w:spacing w:line="600" w:lineRule="exact"/>
        <w:ind w:firstLine="612" w:firstLineChars="196"/>
        <w:jc w:val="left"/>
        <w:rPr>
          <w:rFonts w:ascii="Times New Roman" w:hAnsi="Times New Roman" w:eastAsia="黑体"/>
          <w:bCs/>
          <w:sz w:val="32"/>
          <w:szCs w:val="32"/>
        </w:rPr>
      </w:pPr>
      <w:r>
        <w:rPr>
          <w:rFonts w:ascii="Times New Roman" w:hAnsi="Times New Roman" w:eastAsia="黑体"/>
          <w:bCs/>
          <w:sz w:val="32"/>
          <w:szCs w:val="32"/>
        </w:rPr>
        <w:t>四、资产管理情况</w:t>
      </w:r>
    </w:p>
    <w:p>
      <w:pPr>
        <w:spacing w:line="600" w:lineRule="exact"/>
        <w:ind w:firstLine="612" w:firstLineChars="196"/>
        <w:jc w:val="left"/>
        <w:rPr>
          <w:rFonts w:hint="eastAsia" w:ascii="Times New Roman" w:hAnsi="Times New Roman" w:eastAsia="仿宋_GB2312"/>
          <w:sz w:val="32"/>
          <w:szCs w:val="32"/>
        </w:rPr>
      </w:pPr>
      <w:r>
        <w:rPr>
          <w:rFonts w:hint="eastAsia" w:ascii="Times New Roman" w:hAnsi="Times New Roman" w:eastAsia="仿宋_GB2312"/>
          <w:sz w:val="32"/>
          <w:szCs w:val="32"/>
        </w:rPr>
        <w:t>我单位完善了资产管理制度，成立了资产管理领导小组，有专门的资产管理员，</w:t>
      </w:r>
      <w:r>
        <w:rPr>
          <w:rFonts w:hint="eastAsia" w:ascii="Times New Roman" w:hAnsi="Times New Roman" w:eastAsia="仿宋_GB2312"/>
          <w:sz w:val="32"/>
          <w:szCs w:val="32"/>
          <w:lang w:eastAsia="zh-CN"/>
        </w:rPr>
        <w:t>建</w:t>
      </w:r>
      <w:bookmarkStart w:id="0" w:name="_GoBack"/>
      <w:bookmarkEnd w:id="0"/>
      <w:r>
        <w:rPr>
          <w:rFonts w:hint="eastAsia" w:ascii="Times New Roman" w:hAnsi="Times New Roman" w:eastAsia="仿宋_GB2312"/>
          <w:sz w:val="32"/>
          <w:szCs w:val="32"/>
        </w:rPr>
        <w:t>立健全了资产台账，做到了账实相符。依资产管理有关条例对资产进行采购，处置。</w:t>
      </w:r>
    </w:p>
    <w:p>
      <w:pPr>
        <w:spacing w:line="600" w:lineRule="exact"/>
        <w:ind w:firstLine="612" w:firstLineChars="196"/>
        <w:jc w:val="left"/>
        <w:rPr>
          <w:rFonts w:ascii="Times New Roman" w:hAnsi="Times New Roman" w:eastAsia="黑体"/>
          <w:bCs/>
          <w:sz w:val="32"/>
          <w:szCs w:val="32"/>
        </w:rPr>
      </w:pPr>
      <w:r>
        <w:rPr>
          <w:rFonts w:ascii="Times New Roman" w:hAnsi="Times New Roman" w:eastAsia="黑体"/>
          <w:bCs/>
          <w:sz w:val="32"/>
          <w:szCs w:val="32"/>
        </w:rPr>
        <w:t>五、部门整体支出绩效情况</w:t>
      </w:r>
    </w:p>
    <w:p>
      <w:pPr>
        <w:spacing w:line="600" w:lineRule="exact"/>
        <w:ind w:firstLine="612" w:firstLineChars="196"/>
        <w:jc w:val="left"/>
        <w:rPr>
          <w:rFonts w:hint="eastAsia" w:ascii="Times New Roman" w:hAnsi="Times New Roman" w:eastAsia="仿宋_GB2312"/>
          <w:sz w:val="32"/>
          <w:szCs w:val="32"/>
        </w:rPr>
      </w:pPr>
      <w:r>
        <w:rPr>
          <w:rFonts w:hint="eastAsia" w:ascii="Times New Roman" w:hAnsi="Times New Roman" w:eastAsia="仿宋_GB2312"/>
          <w:sz w:val="32"/>
          <w:szCs w:val="32"/>
        </w:rPr>
        <w:t>部门整体支出绩效评价结果为“优秀”。</w:t>
      </w:r>
    </w:p>
    <w:p>
      <w:pPr>
        <w:spacing w:line="600" w:lineRule="exact"/>
        <w:ind w:firstLine="612" w:firstLineChars="196"/>
        <w:jc w:val="left"/>
        <w:rPr>
          <w:rFonts w:hint="eastAsia" w:ascii="Times New Roman" w:hAnsi="Times New Roman" w:eastAsia="仿宋_GB2312"/>
          <w:sz w:val="32"/>
          <w:szCs w:val="32"/>
        </w:rPr>
      </w:pPr>
      <w:r>
        <w:rPr>
          <w:rFonts w:hint="eastAsia" w:ascii="Times New Roman" w:hAnsi="Times New Roman" w:eastAsia="仿宋_GB2312"/>
          <w:sz w:val="32"/>
          <w:szCs w:val="32"/>
        </w:rPr>
        <w:t>1.项目经济性分析</w:t>
      </w:r>
    </w:p>
    <w:p>
      <w:pPr>
        <w:spacing w:line="600" w:lineRule="exact"/>
        <w:ind w:firstLine="612" w:firstLineChars="196"/>
        <w:jc w:val="left"/>
        <w:rPr>
          <w:rFonts w:hint="eastAsia" w:ascii="Times New Roman" w:hAnsi="Times New Roman" w:eastAsia="仿宋_GB2312"/>
          <w:sz w:val="32"/>
          <w:szCs w:val="32"/>
        </w:rPr>
      </w:pPr>
      <w:r>
        <w:rPr>
          <w:rFonts w:hint="eastAsia" w:ascii="Times New Roman" w:hAnsi="Times New Roman" w:eastAsia="仿宋_GB2312"/>
          <w:sz w:val="32"/>
          <w:szCs w:val="32"/>
        </w:rPr>
        <w:t>为了确保建设资金足额用于生产，按照上级有关工程建设资金管理规定，严格财务管理制度，加强了计量支付管理。严格执行合同价，加强对工程价结算和中间支付的审核监督，对工程计量项目必须符合技术规范及设计图纸要求，各种批复手续及检查验收合格，经监理签认和工程部确认后，由指挥部审核再进行上报。对工程变更严格执行工程变更管理程序，由施工单位提出变更申请，监理工程师、设计代表和指挥部共同到现场复核确认，按变更工程量大小，逐级审批后才予计量支付，做到了建设资金按计划、按预算、按合同、按进度拨付，确保了建设资金的有效控制使用。所有项目工程资金支付未超出可研及设计预算批复。</w:t>
      </w:r>
    </w:p>
    <w:p>
      <w:pPr>
        <w:spacing w:line="600" w:lineRule="exact"/>
        <w:ind w:firstLine="612" w:firstLineChars="196"/>
        <w:jc w:val="left"/>
        <w:rPr>
          <w:rFonts w:hint="eastAsia" w:ascii="Times New Roman" w:hAnsi="Times New Roman" w:eastAsia="仿宋_GB2312"/>
          <w:sz w:val="32"/>
          <w:szCs w:val="32"/>
        </w:rPr>
      </w:pPr>
      <w:r>
        <w:rPr>
          <w:rFonts w:hint="eastAsia" w:ascii="Times New Roman" w:hAnsi="Times New Roman" w:eastAsia="仿宋_GB2312"/>
          <w:sz w:val="32"/>
          <w:szCs w:val="32"/>
        </w:rPr>
        <w:t>2.项目的效率性分析</w:t>
      </w:r>
    </w:p>
    <w:p>
      <w:pPr>
        <w:spacing w:line="600" w:lineRule="exact"/>
        <w:ind w:firstLine="612" w:firstLineChars="196"/>
        <w:jc w:val="left"/>
        <w:rPr>
          <w:rFonts w:hint="eastAsia" w:ascii="Times New Roman" w:hAnsi="Times New Roman" w:eastAsia="仿宋_GB2312"/>
          <w:sz w:val="32"/>
          <w:szCs w:val="32"/>
        </w:rPr>
      </w:pPr>
      <w:r>
        <w:rPr>
          <w:rFonts w:hint="eastAsia" w:ascii="Times New Roman" w:hAnsi="Times New Roman" w:eastAsia="仿宋_GB2312"/>
          <w:sz w:val="32"/>
          <w:szCs w:val="32"/>
        </w:rPr>
        <w:t>该项目前期依据项目总体进度要求，制定了详细的工程进度计划与相适应的控制办法，每月进行了实际进度与计划进度的对比，发现问题及时采取措施进行处理。</w:t>
      </w:r>
    </w:p>
    <w:p>
      <w:pPr>
        <w:spacing w:line="600" w:lineRule="exact"/>
        <w:ind w:firstLine="612" w:firstLineChars="196"/>
        <w:jc w:val="left"/>
        <w:rPr>
          <w:rFonts w:hint="eastAsia" w:ascii="Times New Roman" w:hAnsi="Times New Roman" w:eastAsia="仿宋_GB2312"/>
          <w:sz w:val="32"/>
          <w:szCs w:val="32"/>
        </w:rPr>
      </w:pPr>
      <w:r>
        <w:rPr>
          <w:rFonts w:hint="eastAsia" w:ascii="Times New Roman" w:hAnsi="Times New Roman" w:eastAsia="仿宋_GB2312"/>
          <w:sz w:val="32"/>
          <w:szCs w:val="32"/>
        </w:rPr>
        <w:t>在质量管理上，严格按施工规范要求进行，通过独立的试验抽检验证，完善的监督、抽检等形式和加强中心试验室的工作强化质量控制等措施避免出现返工现象发生。由长沙市交通建设质量监督管理站和宁乡市交通建设质量监督站组织并委托相关检测公司对该项目进行质量监督。</w:t>
      </w:r>
    </w:p>
    <w:p>
      <w:pPr>
        <w:spacing w:line="600" w:lineRule="exact"/>
        <w:ind w:firstLine="612" w:firstLineChars="196"/>
        <w:jc w:val="left"/>
        <w:rPr>
          <w:rFonts w:hint="eastAsia" w:ascii="Times New Roman" w:hAnsi="Times New Roman" w:eastAsia="仿宋_GB2312"/>
          <w:sz w:val="32"/>
          <w:szCs w:val="32"/>
        </w:rPr>
      </w:pPr>
      <w:r>
        <w:rPr>
          <w:rFonts w:hint="eastAsia" w:ascii="Times New Roman" w:hAnsi="Times New Roman" w:eastAsia="仿宋_GB2312"/>
          <w:sz w:val="32"/>
          <w:szCs w:val="32"/>
        </w:rPr>
        <w:t>3.项目的</w:t>
      </w:r>
      <w:r>
        <w:rPr>
          <w:rFonts w:hint="eastAsia" w:ascii="Times New Roman" w:hAnsi="Times New Roman" w:eastAsia="仿宋_GB2312"/>
          <w:sz w:val="32"/>
          <w:szCs w:val="32"/>
          <w:lang w:eastAsia="zh-CN"/>
        </w:rPr>
        <w:t>可持续</w:t>
      </w:r>
      <w:r>
        <w:rPr>
          <w:rFonts w:hint="eastAsia" w:ascii="Times New Roman" w:hAnsi="Times New Roman" w:eastAsia="仿宋_GB2312"/>
          <w:sz w:val="32"/>
          <w:szCs w:val="32"/>
        </w:rPr>
        <w:t>性分析</w:t>
      </w:r>
    </w:p>
    <w:p>
      <w:pPr>
        <w:spacing w:line="600" w:lineRule="exact"/>
        <w:ind w:firstLine="612" w:firstLineChars="196"/>
        <w:jc w:val="left"/>
        <w:rPr>
          <w:rFonts w:ascii="Times New Roman" w:hAnsi="Times New Roman" w:eastAsia="仿宋_GB2312"/>
          <w:sz w:val="32"/>
          <w:szCs w:val="32"/>
        </w:rPr>
      </w:pPr>
      <w:r>
        <w:rPr>
          <w:rFonts w:hint="eastAsia" w:ascii="Times New Roman" w:hAnsi="Times New Roman" w:eastAsia="仿宋_GB2312"/>
          <w:sz w:val="32"/>
          <w:szCs w:val="32"/>
        </w:rPr>
        <w:t>该项目的建成将有效解决现有道路通行能力无法满足交通需求快速增长的问题，增加行车安全和舒适性，将省道、县道连成一体，优化和完善区域路网结构，促进区域经济的发展。</w:t>
      </w:r>
    </w:p>
    <w:p>
      <w:pPr>
        <w:spacing w:line="600" w:lineRule="exact"/>
        <w:ind w:firstLine="612" w:firstLineChars="196"/>
        <w:jc w:val="left"/>
        <w:rPr>
          <w:rFonts w:ascii="Times New Roman" w:hAnsi="Times New Roman" w:eastAsia="黑体"/>
          <w:bCs/>
          <w:sz w:val="32"/>
          <w:szCs w:val="32"/>
        </w:rPr>
      </w:pPr>
      <w:r>
        <w:rPr>
          <w:rFonts w:ascii="Times New Roman" w:hAnsi="Times New Roman" w:eastAsia="黑体"/>
          <w:bCs/>
          <w:sz w:val="32"/>
          <w:szCs w:val="32"/>
        </w:rPr>
        <w:t>六、存在的主要问题</w:t>
      </w:r>
    </w:p>
    <w:p>
      <w:pPr>
        <w:spacing w:line="600" w:lineRule="exact"/>
        <w:ind w:firstLine="612" w:firstLineChars="196"/>
        <w:jc w:val="left"/>
        <w:rPr>
          <w:rFonts w:ascii="Times New Roman" w:hAnsi="Times New Roman" w:eastAsia="仿宋_GB2312"/>
          <w:sz w:val="32"/>
          <w:szCs w:val="32"/>
        </w:rPr>
      </w:pPr>
      <w:r>
        <w:rPr>
          <w:rFonts w:hint="eastAsia" w:ascii="Times New Roman" w:hAnsi="Times New Roman" w:eastAsia="仿宋_GB2312"/>
          <w:sz w:val="32"/>
          <w:szCs w:val="32"/>
        </w:rPr>
        <w:t>缺乏对绩效管理是一个完整系统的认识。主要是由于对绩效管理未引起足够的重视。</w:t>
      </w:r>
    </w:p>
    <w:p>
      <w:pPr>
        <w:spacing w:line="600" w:lineRule="exact"/>
        <w:ind w:firstLine="612" w:firstLineChars="196"/>
        <w:jc w:val="left"/>
        <w:rPr>
          <w:rFonts w:ascii="Times New Roman" w:hAnsi="Times New Roman" w:eastAsia="黑体"/>
          <w:bCs/>
          <w:sz w:val="32"/>
          <w:szCs w:val="32"/>
        </w:rPr>
      </w:pPr>
      <w:r>
        <w:rPr>
          <w:rFonts w:ascii="Times New Roman" w:hAnsi="Times New Roman" w:eastAsia="黑体"/>
          <w:bCs/>
          <w:sz w:val="32"/>
          <w:szCs w:val="32"/>
        </w:rPr>
        <w:t>七、改进措施和有关建议</w:t>
      </w:r>
    </w:p>
    <w:p>
      <w:pPr>
        <w:pStyle w:val="4"/>
        <w:snapToGrid w:val="0"/>
        <w:spacing w:before="0" w:beforeAutospacing="0" w:after="0" w:afterAutospacing="0" w:line="600" w:lineRule="exact"/>
        <w:ind w:firstLine="612" w:firstLineChars="196"/>
        <w:rPr>
          <w:rFonts w:ascii="Times New Roman" w:hAnsi="Times New Roman" w:eastAsia="仿宋_GB2312"/>
          <w:sz w:val="32"/>
          <w:szCs w:val="32"/>
        </w:rPr>
      </w:pPr>
      <w:r>
        <w:rPr>
          <w:rFonts w:hint="eastAsia" w:ascii="Times New Roman" w:hAnsi="Times New Roman" w:eastAsia="仿宋_GB2312"/>
          <w:sz w:val="32"/>
          <w:szCs w:val="32"/>
        </w:rPr>
        <w:t>绩效评价只是绩效管理系统中的一个未确保绩效管理系统的有效运行，必须认真对待绩效评价后的绩效反馈与绩效奖励环节。绩效管理并不是以得出绩效评价结果为主要目的，而应通过绩效反馈，改进预算执行中的不足，从而提升单位的整体绩效作为最高目标。因此，绩效评价后必须认真安排、精心组织好绩效反馈与沟通工作。</w:t>
      </w:r>
    </w:p>
    <w:p>
      <w:pPr>
        <w:pStyle w:val="4"/>
        <w:widowControl w:val="0"/>
        <w:snapToGrid w:val="0"/>
        <w:spacing w:before="0" w:beforeAutospacing="0" w:after="0" w:afterAutospacing="0" w:line="600" w:lineRule="exact"/>
        <w:ind w:firstLine="624" w:firstLineChars="200"/>
        <w:jc w:val="both"/>
        <w:rPr>
          <w:rFonts w:ascii="Times New Roman" w:hAnsi="Times New Roman" w:eastAsia="仿宋_GB2312" w:cs="Times New Roman"/>
          <w:kern w:val="2"/>
          <w:sz w:val="32"/>
          <w:szCs w:val="32"/>
        </w:rPr>
      </w:pPr>
    </w:p>
    <w:p>
      <w:pPr>
        <w:spacing w:line="600" w:lineRule="exact"/>
        <w:ind w:firstLine="420"/>
      </w:pPr>
    </w:p>
    <w:p>
      <w:pPr>
        <w:pStyle w:val="4"/>
        <w:snapToGrid w:val="0"/>
        <w:spacing w:before="0" w:beforeAutospacing="0" w:after="0" w:afterAutospacing="0" w:line="600" w:lineRule="exact"/>
        <w:ind w:firstLine="612" w:firstLineChars="196"/>
        <w:rPr>
          <w:rFonts w:ascii="Times New Roman" w:hAnsi="Times New Roman" w:eastAsia="仿宋_GB2312"/>
          <w:sz w:val="32"/>
          <w:szCs w:val="32"/>
        </w:rPr>
      </w:pPr>
    </w:p>
    <w:sectPr>
      <w:headerReference r:id="rId3" w:type="default"/>
      <w:footerReference r:id="rId4" w:type="default"/>
      <w:footerReference r:id="rId5" w:type="even"/>
      <w:pgSz w:w="11906" w:h="16838"/>
      <w:pgMar w:top="2098" w:right="1474" w:bottom="1985" w:left="1587" w:header="851" w:footer="1588" w:gutter="0"/>
      <w:cols w:space="720" w:num="1"/>
      <w:titlePg/>
      <w:docGrid w:type="linesAndChars" w:linePitch="579" w:charSpace="-183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7"/>
        <w:rFonts w:ascii="宋体" w:hAnsi="宋体"/>
        <w:sz w:val="28"/>
        <w:szCs w:val="28"/>
      </w:rPr>
    </w:pPr>
    <w:r>
      <w:rPr>
        <w:rStyle w:val="7"/>
        <w:rFonts w:hint="eastAsia" w:ascii="宋体" w:hAnsi="宋体"/>
        <w:sz w:val="28"/>
        <w:szCs w:val="28"/>
      </w:rPr>
      <w:t xml:space="preserve">— </w:t>
    </w:r>
    <w:r>
      <w:rPr>
        <w:rStyle w:val="7"/>
        <w:rFonts w:ascii="宋体" w:hAnsi="宋体"/>
        <w:sz w:val="28"/>
        <w:szCs w:val="28"/>
      </w:rPr>
      <w:fldChar w:fldCharType="begin"/>
    </w:r>
    <w:r>
      <w:rPr>
        <w:rStyle w:val="7"/>
        <w:rFonts w:ascii="宋体" w:hAnsi="宋体"/>
        <w:sz w:val="28"/>
        <w:szCs w:val="28"/>
      </w:rPr>
      <w:instrText xml:space="preserve">PAGE  </w:instrText>
    </w:r>
    <w:r>
      <w:rPr>
        <w:rStyle w:val="7"/>
        <w:rFonts w:ascii="宋体" w:hAnsi="宋体"/>
        <w:sz w:val="28"/>
        <w:szCs w:val="28"/>
      </w:rPr>
      <w:fldChar w:fldCharType="separate"/>
    </w:r>
    <w:r>
      <w:rPr>
        <w:rStyle w:val="7"/>
        <w:rFonts w:ascii="宋体" w:hAnsi="宋体"/>
        <w:sz w:val="28"/>
        <w:szCs w:val="28"/>
      </w:rPr>
      <w:t>15</w:t>
    </w:r>
    <w:r>
      <w:rPr>
        <w:rStyle w:val="7"/>
        <w:rFonts w:ascii="宋体" w:hAnsi="宋体"/>
        <w:sz w:val="28"/>
        <w:szCs w:val="28"/>
      </w:rPr>
      <w:fldChar w:fldCharType="end"/>
    </w:r>
    <w:r>
      <w:rPr>
        <w:rStyle w:val="7"/>
        <w:rFonts w:hint="eastAsia" w:ascii="宋体" w:hAnsi="宋体"/>
        <w:sz w:val="28"/>
        <w:szCs w:val="28"/>
      </w:rPr>
      <w:t xml:space="preserve"> —</w:t>
    </w:r>
  </w:p>
  <w:p>
    <w:pPr>
      <w:pStyle w:val="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7"/>
      </w:rPr>
    </w:pPr>
    <w:r>
      <w:rPr>
        <w:rStyle w:val="7"/>
      </w:rPr>
      <w:fldChar w:fldCharType="begin"/>
    </w:r>
    <w:r>
      <w:rPr>
        <w:rStyle w:val="7"/>
      </w:rPr>
      <w:instrText xml:space="preserve">PAGE  </w:instrText>
    </w:r>
    <w:r>
      <w:rPr>
        <w:rStyle w:val="7"/>
      </w:rPr>
      <w:fldChar w:fldCharType="end"/>
    </w:r>
  </w:p>
  <w:p>
    <w:pPr>
      <w:pStyle w:val="2"/>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zJlMzAwNTgxOGY4OTAyNDE2NjBhM2Y0MWI5YjMxMjUifQ=="/>
  </w:docVars>
  <w:rsids>
    <w:rsidRoot w:val="00192649"/>
    <w:rsid w:val="00031B34"/>
    <w:rsid w:val="000F4ADA"/>
    <w:rsid w:val="00131111"/>
    <w:rsid w:val="00134DF6"/>
    <w:rsid w:val="00192649"/>
    <w:rsid w:val="001D6DB5"/>
    <w:rsid w:val="00300197"/>
    <w:rsid w:val="00332499"/>
    <w:rsid w:val="00365629"/>
    <w:rsid w:val="003A5422"/>
    <w:rsid w:val="004A1A03"/>
    <w:rsid w:val="0053289A"/>
    <w:rsid w:val="005A07F5"/>
    <w:rsid w:val="0066129D"/>
    <w:rsid w:val="006D5AE6"/>
    <w:rsid w:val="00734D49"/>
    <w:rsid w:val="007D268E"/>
    <w:rsid w:val="008204F6"/>
    <w:rsid w:val="00866E50"/>
    <w:rsid w:val="00871668"/>
    <w:rsid w:val="008A1DEB"/>
    <w:rsid w:val="008D1735"/>
    <w:rsid w:val="0098258A"/>
    <w:rsid w:val="00A52E12"/>
    <w:rsid w:val="00A67F1E"/>
    <w:rsid w:val="00BC5D12"/>
    <w:rsid w:val="00BC7329"/>
    <w:rsid w:val="00BD7707"/>
    <w:rsid w:val="00C0464C"/>
    <w:rsid w:val="00C07A49"/>
    <w:rsid w:val="00C2083D"/>
    <w:rsid w:val="00E27731"/>
    <w:rsid w:val="00ED287D"/>
    <w:rsid w:val="00F135CF"/>
    <w:rsid w:val="00F90D1A"/>
    <w:rsid w:val="00FA125A"/>
    <w:rsid w:val="00FB1F15"/>
    <w:rsid w:val="00FB2F55"/>
    <w:rsid w:val="00FD706D"/>
    <w:rsid w:val="34341080"/>
    <w:rsid w:val="416265AF"/>
    <w:rsid w:val="4FE90D3E"/>
    <w:rsid w:val="78C17772"/>
    <w:rsid w:val="7D6A00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11"/>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7">
    <w:name w:val="page number"/>
    <w:basedOn w:val="6"/>
    <w:uiPriority w:val="0"/>
  </w:style>
  <w:style w:type="character" w:customStyle="1" w:styleId="8">
    <w:name w:val="页眉 Char"/>
    <w:link w:val="3"/>
    <w:uiPriority w:val="0"/>
    <w:rPr>
      <w:sz w:val="18"/>
      <w:szCs w:val="18"/>
    </w:rPr>
  </w:style>
  <w:style w:type="character" w:customStyle="1" w:styleId="9">
    <w:name w:val="页脚 Char"/>
    <w:link w:val="2"/>
    <w:qFormat/>
    <w:uiPriority w:val="99"/>
    <w:rPr>
      <w:sz w:val="18"/>
      <w:szCs w:val="18"/>
    </w:rPr>
  </w:style>
  <w:style w:type="character" w:customStyle="1" w:styleId="10">
    <w:name w:val="页脚 Char1"/>
    <w:basedOn w:val="6"/>
    <w:link w:val="2"/>
    <w:semiHidden/>
    <w:uiPriority w:val="99"/>
    <w:rPr>
      <w:rFonts w:ascii="Calibri" w:hAnsi="Calibri" w:eastAsia="宋体" w:cs="Times New Roman"/>
      <w:sz w:val="18"/>
      <w:szCs w:val="18"/>
    </w:rPr>
  </w:style>
  <w:style w:type="character" w:customStyle="1" w:styleId="11">
    <w:name w:val="页眉 Char1"/>
    <w:basedOn w:val="6"/>
    <w:link w:val="3"/>
    <w:semiHidden/>
    <w:uiPriority w:val="99"/>
    <w:rPr>
      <w:rFonts w:ascii="Calibri" w:hAnsi="Calibri" w:eastAsia="宋体" w:cs="Times New Roman"/>
      <w:sz w:val="18"/>
      <w:szCs w:val="18"/>
    </w:rPr>
  </w:style>
  <w:style w:type="paragraph" w:customStyle="1" w:styleId="12">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 w:type="paragraph" w:customStyle="1" w:styleId="13">
    <w:name w:val="无间隔1"/>
    <w:qFormat/>
    <w:uiPriority w:val="99"/>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9</Pages>
  <Words>4198</Words>
  <Characters>4541</Characters>
  <Lines>57</Lines>
  <Paragraphs>16</Paragraphs>
  <TotalTime>1</TotalTime>
  <ScaleCrop>false</ScaleCrop>
  <LinksUpToDate>false</LinksUpToDate>
  <CharactersWithSpaces>4543</CharactersWithSpaces>
  <Application>WPS Office_11.1.0.12650_F1E327BC-269C-435d-A152-05C5408002CA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2020-04-15T01:49:00Z</dcterms:created>
  <dc:creator>PC</dc:creator>
  <cp:lastModifiedBy>陈琳</cp:lastModifiedBy>
  <dcterms:modified xsi:type="dcterms:W3CDTF">2023-05-26T02:38:29Z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2052-11.1.0.12650</vt:lpwstr>
  </property>
  <property fmtid="{D5CDD505-2E9C-101B-9397-08002B2CF9AE}" pid="3" name="ICV">
    <vt:lpwstr>0E76A9D5C99C4C87B0A787F38BE8ACA6</vt:lpwstr>
  </property>
</Properties>
</file>