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0E6C8F">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b w:val="0"/>
          <w:bCs/>
          <w:kern w:val="0"/>
          <w:sz w:val="44"/>
          <w:szCs w:val="44"/>
          <w:highlight w:val="none"/>
          <w:lang w:val="en-US" w:eastAsia="zh-CN"/>
        </w:rPr>
      </w:pPr>
      <w:r>
        <w:rPr>
          <w:rFonts w:hint="default" w:ascii="Times New Roman" w:hAnsi="Times New Roman" w:eastAsia="方正小标宋简体" w:cs="Times New Roman"/>
          <w:b w:val="0"/>
          <w:bCs/>
          <w:kern w:val="0"/>
          <w:sz w:val="44"/>
          <w:szCs w:val="44"/>
          <w:highlight w:val="none"/>
          <w:lang w:val="en-US" w:eastAsia="zh-CN"/>
        </w:rPr>
        <w:t>宁乡市金融事务中心</w:t>
      </w:r>
    </w:p>
    <w:p w14:paraId="4DB2881D">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b w:val="0"/>
          <w:bCs/>
          <w:kern w:val="0"/>
          <w:sz w:val="44"/>
          <w:szCs w:val="44"/>
          <w:highlight w:val="none"/>
        </w:rPr>
      </w:pPr>
      <w:r>
        <w:rPr>
          <w:rFonts w:hint="default" w:ascii="Times New Roman" w:hAnsi="Times New Roman" w:eastAsia="方正小标宋简体" w:cs="Times New Roman"/>
          <w:b w:val="0"/>
          <w:bCs/>
          <w:kern w:val="0"/>
          <w:sz w:val="44"/>
          <w:szCs w:val="44"/>
          <w:highlight w:val="none"/>
          <w:lang w:val="en-US" w:eastAsia="zh-CN"/>
        </w:rPr>
        <w:t>202</w:t>
      </w:r>
      <w:r>
        <w:rPr>
          <w:rFonts w:hint="eastAsia" w:eastAsia="方正小标宋简体" w:cs="Times New Roman"/>
          <w:b w:val="0"/>
          <w:bCs/>
          <w:kern w:val="0"/>
          <w:sz w:val="44"/>
          <w:szCs w:val="44"/>
          <w:highlight w:val="none"/>
          <w:lang w:val="en-US" w:eastAsia="zh-CN"/>
        </w:rPr>
        <w:t>3</w:t>
      </w:r>
      <w:r>
        <w:rPr>
          <w:rFonts w:hint="default" w:ascii="Times New Roman" w:hAnsi="Times New Roman" w:eastAsia="方正小标宋简体" w:cs="Times New Roman"/>
          <w:b w:val="0"/>
          <w:bCs/>
          <w:kern w:val="0"/>
          <w:sz w:val="44"/>
          <w:szCs w:val="44"/>
          <w:highlight w:val="none"/>
        </w:rPr>
        <w:t>年</w:t>
      </w:r>
      <w:r>
        <w:rPr>
          <w:rFonts w:hint="default" w:ascii="Times New Roman" w:hAnsi="Times New Roman" w:eastAsia="方正小标宋简体" w:cs="Times New Roman"/>
          <w:b w:val="0"/>
          <w:bCs/>
          <w:kern w:val="0"/>
          <w:sz w:val="44"/>
          <w:szCs w:val="44"/>
          <w:highlight w:val="none"/>
          <w:lang w:eastAsia="zh-CN"/>
        </w:rPr>
        <w:t>部门</w:t>
      </w:r>
      <w:r>
        <w:rPr>
          <w:rFonts w:hint="default" w:ascii="Times New Roman" w:hAnsi="Times New Roman" w:eastAsia="方正小标宋简体" w:cs="Times New Roman"/>
          <w:b w:val="0"/>
          <w:bCs/>
          <w:kern w:val="0"/>
          <w:sz w:val="44"/>
          <w:szCs w:val="44"/>
          <w:highlight w:val="none"/>
        </w:rPr>
        <w:t>整体支出绩效自评报告</w:t>
      </w:r>
    </w:p>
    <w:p w14:paraId="2024427C">
      <w:pPr>
        <w:keepNext w:val="0"/>
        <w:keepLines w:val="0"/>
        <w:pageBreakBefore w:val="0"/>
        <w:widowControl w:val="0"/>
        <w:kinsoku/>
        <w:wordWrap/>
        <w:overflowPunct/>
        <w:topLinePunct w:val="0"/>
        <w:autoSpaceDE/>
        <w:autoSpaceDN/>
        <w:bidi w:val="0"/>
        <w:adjustRightInd/>
        <w:snapToGrid/>
        <w:spacing w:line="560" w:lineRule="exact"/>
        <w:ind w:left="0" w:leftChars="0" w:firstLine="880" w:firstLineChars="200"/>
        <w:jc w:val="center"/>
        <w:textAlignment w:val="auto"/>
        <w:rPr>
          <w:rFonts w:hint="default" w:ascii="Times New Roman" w:hAnsi="Times New Roman" w:eastAsia="方正小标宋简体" w:cs="Times New Roman"/>
          <w:b w:val="0"/>
          <w:bCs/>
          <w:kern w:val="0"/>
          <w:sz w:val="44"/>
          <w:szCs w:val="44"/>
          <w:highlight w:val="none"/>
        </w:rPr>
      </w:pPr>
    </w:p>
    <w:p w14:paraId="4EE61B4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一、部门概况</w:t>
      </w:r>
    </w:p>
    <w:p w14:paraId="4D5E186B">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楷体_GB2312" w:cs="Times New Roman"/>
          <w:b/>
          <w:bCs/>
          <w:sz w:val="32"/>
          <w:szCs w:val="32"/>
          <w:highlight w:val="none"/>
        </w:rPr>
      </w:pPr>
      <w:r>
        <w:rPr>
          <w:rFonts w:hint="default" w:ascii="Times New Roman" w:hAnsi="Times New Roman" w:eastAsia="楷体_GB2312" w:cs="Times New Roman"/>
          <w:b/>
          <w:bCs/>
          <w:sz w:val="32"/>
          <w:szCs w:val="32"/>
          <w:highlight w:val="none"/>
        </w:rPr>
        <w:t>（一）部门基本情况</w:t>
      </w:r>
    </w:p>
    <w:p w14:paraId="60A00523">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bCs/>
          <w:sz w:val="32"/>
          <w:szCs w:val="32"/>
          <w:highlight w:val="none"/>
        </w:rPr>
        <w:t>1</w:t>
      </w:r>
      <w:r>
        <w:rPr>
          <w:rFonts w:hint="default" w:ascii="Times New Roman" w:hAnsi="Times New Roman" w:eastAsia="仿宋_GB2312" w:cs="Times New Roman"/>
          <w:sz w:val="32"/>
          <w:szCs w:val="32"/>
          <w:highlight w:val="none"/>
        </w:rPr>
        <w:t>.机构设置</w:t>
      </w:r>
    </w:p>
    <w:p w14:paraId="533B945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bCs/>
          <w:color w:val="FF0000"/>
          <w:sz w:val="32"/>
          <w:szCs w:val="32"/>
          <w:highlight w:val="none"/>
        </w:rPr>
      </w:pPr>
      <w:r>
        <w:rPr>
          <w:rFonts w:hint="default" w:ascii="Times New Roman" w:hAnsi="Times New Roman" w:eastAsia="仿宋_GB2312" w:cs="Times New Roman"/>
          <w:color w:val="333333"/>
          <w:sz w:val="32"/>
          <w:szCs w:val="32"/>
          <w:highlight w:val="none"/>
        </w:rPr>
        <w:t>根据《宁乡市人民政府机构改革方案的实施意见》（宁办</w:t>
      </w:r>
      <w:r>
        <w:rPr>
          <w:rFonts w:hint="default" w:ascii="Times New Roman" w:hAnsi="Times New Roman" w:eastAsia="仿宋_GB2312" w:cs="Times New Roman"/>
          <w:color w:val="000000"/>
          <w:sz w:val="32"/>
          <w:szCs w:val="32"/>
          <w:highlight w:val="none"/>
        </w:rPr>
        <w:t>〔2019〕</w:t>
      </w:r>
      <w:r>
        <w:rPr>
          <w:rFonts w:hint="default" w:ascii="Times New Roman" w:hAnsi="Times New Roman" w:eastAsia="仿宋_GB2312" w:cs="Times New Roman"/>
          <w:color w:val="333333"/>
          <w:sz w:val="32"/>
          <w:szCs w:val="32"/>
          <w:highlight w:val="none"/>
        </w:rPr>
        <w:t>47号）文件的要求，市委、市政府组建宁乡市金融事务中心，属市人民政府直属事业单位。核定编制</w:t>
      </w:r>
      <w:r>
        <w:rPr>
          <w:rFonts w:hint="default" w:ascii="Times New Roman" w:hAnsi="Times New Roman" w:eastAsia="仿宋_GB2312" w:cs="Times New Roman"/>
          <w:color w:val="333333"/>
          <w:sz w:val="32"/>
          <w:szCs w:val="32"/>
          <w:highlight w:val="none"/>
          <w:lang w:val="en-US" w:eastAsia="zh-CN"/>
        </w:rPr>
        <w:t>11</w:t>
      </w:r>
      <w:r>
        <w:rPr>
          <w:rFonts w:hint="default" w:ascii="Times New Roman" w:hAnsi="Times New Roman" w:eastAsia="仿宋_GB2312" w:cs="Times New Roman"/>
          <w:color w:val="333333"/>
          <w:sz w:val="32"/>
          <w:szCs w:val="32"/>
          <w:highlight w:val="none"/>
        </w:rPr>
        <w:t>名，在编人员</w:t>
      </w:r>
      <w:r>
        <w:rPr>
          <w:rFonts w:hint="default" w:ascii="Times New Roman" w:hAnsi="Times New Roman" w:eastAsia="仿宋_GB2312" w:cs="Times New Roman"/>
          <w:color w:val="333333"/>
          <w:sz w:val="32"/>
          <w:szCs w:val="32"/>
          <w:highlight w:val="none"/>
          <w:lang w:val="en-US" w:eastAsia="zh-CN"/>
        </w:rPr>
        <w:t>10</w:t>
      </w:r>
      <w:r>
        <w:rPr>
          <w:rFonts w:hint="default" w:ascii="Times New Roman" w:hAnsi="Times New Roman" w:eastAsia="仿宋_GB2312" w:cs="Times New Roman"/>
          <w:color w:val="333333"/>
          <w:sz w:val="32"/>
          <w:szCs w:val="32"/>
          <w:highlight w:val="none"/>
        </w:rPr>
        <w:t>人，实有在岗人员</w:t>
      </w:r>
      <w:r>
        <w:rPr>
          <w:rFonts w:hint="eastAsia" w:eastAsia="仿宋_GB2312" w:cs="Times New Roman"/>
          <w:color w:val="333333"/>
          <w:sz w:val="32"/>
          <w:szCs w:val="32"/>
          <w:highlight w:val="none"/>
          <w:lang w:val="en-US" w:eastAsia="zh-CN"/>
        </w:rPr>
        <w:t>10</w:t>
      </w:r>
      <w:r>
        <w:rPr>
          <w:rFonts w:hint="default" w:ascii="Times New Roman" w:hAnsi="Times New Roman" w:eastAsia="仿宋_GB2312" w:cs="Times New Roman"/>
          <w:color w:val="333333"/>
          <w:sz w:val="32"/>
          <w:szCs w:val="32"/>
          <w:highlight w:val="none"/>
        </w:rPr>
        <w:t>人</w:t>
      </w:r>
      <w:bookmarkStart w:id="0" w:name="_GoBack"/>
      <w:bookmarkEnd w:id="0"/>
      <w:r>
        <w:rPr>
          <w:rFonts w:hint="default" w:ascii="Times New Roman" w:hAnsi="Times New Roman" w:eastAsia="仿宋_GB2312" w:cs="Times New Roman"/>
          <w:color w:val="333333"/>
          <w:sz w:val="32"/>
          <w:szCs w:val="32"/>
          <w:highlight w:val="none"/>
        </w:rPr>
        <w:t>。设综合科、发展科、服务科三个内设科室，无二级机</w:t>
      </w:r>
      <w:r>
        <w:rPr>
          <w:rFonts w:hint="default" w:ascii="Times New Roman" w:hAnsi="Times New Roman" w:eastAsia="仿宋_GB2312" w:cs="Times New Roman"/>
          <w:color w:val="auto"/>
          <w:sz w:val="32"/>
          <w:szCs w:val="32"/>
          <w:highlight w:val="none"/>
        </w:rPr>
        <w:t>构。</w:t>
      </w:r>
    </w:p>
    <w:p w14:paraId="489BC3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职能职责</w:t>
      </w:r>
    </w:p>
    <w:p w14:paraId="46A93C11">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1</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执行国家有关金融工作的方针政策和法律法规，协助行政主管部门草拟全市金融业发展中长期发展规划并配合实施。</w:t>
      </w:r>
    </w:p>
    <w:p w14:paraId="33467CB1">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2</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研究分析宏观金融形势、金融政策和全市金融运行情况，协助行政主管部门草拟引导金融业服务地方经济社会发展的建议措施。</w:t>
      </w:r>
    </w:p>
    <w:p w14:paraId="6673DAB1">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3</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负责联系、引进、协调、服务各类金融机构。</w:t>
      </w:r>
    </w:p>
    <w:p w14:paraId="2C3C7F0E">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4</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促进政府与金融机构的合作、金融机构和企业的对接，引导、协调和鼓励金融机构加大对全市经济社会发展的支持力度。</w:t>
      </w:r>
    </w:p>
    <w:p w14:paraId="01EE8A77">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5</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推进全市多层次资本市场建设与发展，负责全市企业上市后备资源培育，推进全市企业挂牌、上市、并购等工作。</w:t>
      </w:r>
    </w:p>
    <w:p w14:paraId="07EFC966">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6</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协助行政主管部门维护辖区内金融秩序和金融安全。</w:t>
      </w:r>
    </w:p>
    <w:p w14:paraId="175B4F82">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7</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协助行政主管部门推动全市保险体系的建设，促进全市保险市场规范化发展。</w:t>
      </w:r>
    </w:p>
    <w:p w14:paraId="49E91792">
      <w:pPr>
        <w:pStyle w:val="8"/>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8</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完成市委、市人民政府交办的其他工作任务。</w:t>
      </w:r>
    </w:p>
    <w:p w14:paraId="08DF36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3.重点工作计划</w:t>
      </w:r>
    </w:p>
    <w:p w14:paraId="62FBC12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kern w:val="0"/>
          <w:sz w:val="32"/>
          <w:szCs w:val="32"/>
          <w:highlight w:val="none"/>
          <w:lang w:val="en-US" w:eastAsia="zh-CN" w:bidi="ar"/>
        </w:rPr>
        <w:t>（1）注重政金良性互动，信贷投放稳步增长。</w:t>
      </w:r>
      <w:r>
        <w:rPr>
          <w:rFonts w:hint="default" w:ascii="Times New Roman" w:hAnsi="Times New Roman" w:eastAsia="仿宋_GB2312" w:cs="Times New Roman"/>
          <w:b w:val="0"/>
          <w:bCs w:val="0"/>
          <w:sz w:val="32"/>
          <w:szCs w:val="32"/>
          <w:highlight w:val="none"/>
          <w:lang w:eastAsia="zh-CN"/>
        </w:rPr>
        <w:t>高度重视与银信部门的联系沟通，为辖区争取更优信贷服务打好了基础。</w:t>
      </w:r>
    </w:p>
    <w:p w14:paraId="1D8A459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kern w:val="0"/>
          <w:sz w:val="32"/>
          <w:szCs w:val="32"/>
          <w:highlight w:val="none"/>
          <w:lang w:val="en-US" w:eastAsia="zh-CN" w:bidi="ar"/>
        </w:rPr>
      </w:pPr>
      <w:r>
        <w:rPr>
          <w:rFonts w:hint="default" w:ascii="Times New Roman" w:hAnsi="Times New Roman" w:eastAsia="仿宋_GB2312" w:cs="Times New Roman"/>
          <w:b w:val="0"/>
          <w:bCs w:val="0"/>
          <w:kern w:val="0"/>
          <w:sz w:val="32"/>
          <w:szCs w:val="32"/>
          <w:highlight w:val="none"/>
          <w:lang w:val="en-US" w:eastAsia="zh-CN" w:bidi="ar"/>
        </w:rPr>
        <w:t>（2）注重资本市场培育，促企上市有序推进。对标省政府“金芙蓉”跃升行动、长沙市“岳麓登峰”行动制定《宁乡市加快推进企业上市行动方案（2022-2026年）》，45家优质企业入选省、长沙及宁乡上市后备企业名录，并从中精选20家作为重点培育对象。</w:t>
      </w:r>
    </w:p>
    <w:p w14:paraId="0AFD742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kern w:val="0"/>
          <w:sz w:val="32"/>
          <w:szCs w:val="32"/>
          <w:highlight w:val="none"/>
          <w:lang w:val="en-US" w:eastAsia="zh-CN" w:bidi="ar"/>
        </w:rPr>
      </w:pPr>
      <w:r>
        <w:rPr>
          <w:rFonts w:hint="default" w:ascii="Times New Roman" w:hAnsi="Times New Roman" w:eastAsia="仿宋_GB2312" w:cs="Times New Roman"/>
          <w:b w:val="0"/>
          <w:bCs w:val="0"/>
          <w:kern w:val="0"/>
          <w:sz w:val="32"/>
          <w:szCs w:val="32"/>
          <w:highlight w:val="none"/>
          <w:lang w:val="en-US" w:eastAsia="zh-CN" w:bidi="ar"/>
        </w:rPr>
        <w:t>（3）注重金融服务创新，缓解融资问题有实招。</w:t>
      </w:r>
      <w:r>
        <w:rPr>
          <w:rFonts w:hint="default" w:ascii="Times New Roman" w:hAnsi="Times New Roman" w:eastAsia="仿宋_GB2312" w:cs="Times New Roman"/>
          <w:b w:val="0"/>
          <w:bCs w:val="0"/>
          <w:color w:val="auto"/>
          <w:kern w:val="0"/>
          <w:sz w:val="32"/>
          <w:szCs w:val="32"/>
          <w:highlight w:val="none"/>
          <w:lang w:val="en-US" w:eastAsia="zh-CN" w:bidi="ar"/>
        </w:rPr>
        <w:t>稳妥运作转贷资金，</w:t>
      </w:r>
      <w:r>
        <w:rPr>
          <w:rFonts w:hint="default" w:ascii="Times New Roman" w:hAnsi="Times New Roman" w:eastAsia="仿宋_GB2312" w:cs="Times New Roman"/>
          <w:b w:val="0"/>
          <w:bCs w:val="0"/>
          <w:kern w:val="2"/>
          <w:sz w:val="32"/>
          <w:szCs w:val="32"/>
          <w:highlight w:val="none"/>
          <w:lang w:eastAsia="zh-CN"/>
        </w:rPr>
        <w:t>将转贷应急周转资金作为支持实体经济尤其是中小微企业的有力抓手，</w:t>
      </w:r>
      <w:r>
        <w:rPr>
          <w:rFonts w:hint="default" w:ascii="Times New Roman" w:hAnsi="Times New Roman" w:eastAsia="仿宋_GB2312" w:cs="Times New Roman"/>
          <w:b w:val="0"/>
          <w:bCs w:val="0"/>
          <w:sz w:val="32"/>
          <w:szCs w:val="32"/>
          <w:highlight w:val="none"/>
          <w:lang w:val="en-US" w:eastAsia="zh-CN"/>
        </w:rPr>
        <w:t>更好地服务企业；</w:t>
      </w:r>
      <w:r>
        <w:rPr>
          <w:rFonts w:hint="default" w:ascii="Times New Roman" w:hAnsi="Times New Roman" w:eastAsia="仿宋_GB2312" w:cs="Times New Roman"/>
          <w:b w:val="0"/>
          <w:bCs w:val="0"/>
          <w:color w:val="auto"/>
          <w:kern w:val="0"/>
          <w:sz w:val="32"/>
          <w:szCs w:val="32"/>
          <w:highlight w:val="none"/>
          <w:lang w:val="en-US" w:eastAsia="zh-CN" w:bidi="ar"/>
        </w:rPr>
        <w:t>探索拓展产业基金，</w:t>
      </w:r>
      <w:r>
        <w:rPr>
          <w:rFonts w:hint="default" w:ascii="Times New Roman" w:hAnsi="Times New Roman" w:eastAsia="仿宋_GB2312" w:cs="Times New Roman"/>
          <w:b w:val="0"/>
          <w:bCs w:val="0"/>
          <w:kern w:val="0"/>
          <w:sz w:val="32"/>
          <w:szCs w:val="32"/>
          <w:highlight w:val="none"/>
          <w:lang w:val="en-US" w:eastAsia="zh-CN" w:bidi="ar"/>
        </w:rPr>
        <w:t>制定《宁乡市产业基金管理办法（试行）》，进一步整合国有公司资源要素，</w:t>
      </w:r>
      <w:r>
        <w:rPr>
          <w:rFonts w:hint="default" w:ascii="Times New Roman" w:hAnsi="Times New Roman" w:eastAsia="仿宋_GB2312" w:cs="Times New Roman"/>
          <w:b w:val="0"/>
          <w:bCs w:val="0"/>
          <w:sz w:val="32"/>
          <w:szCs w:val="32"/>
          <w:highlight w:val="none"/>
          <w:lang w:val="en-US" w:eastAsia="zh-CN"/>
        </w:rPr>
        <w:t>推动企业股权融资。</w:t>
      </w:r>
    </w:p>
    <w:p w14:paraId="6B1B12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bidi="ar"/>
        </w:rPr>
        <w:t>（4）注重金融环境建设，维护地方金融稳定有成效。</w:t>
      </w:r>
      <w:r>
        <w:rPr>
          <w:rFonts w:hint="default" w:ascii="Times New Roman" w:hAnsi="Times New Roman" w:eastAsia="仿宋_GB2312" w:cs="Times New Roman"/>
          <w:b w:val="0"/>
          <w:bCs w:val="0"/>
          <w:color w:val="auto"/>
          <w:kern w:val="0"/>
          <w:sz w:val="32"/>
          <w:szCs w:val="32"/>
          <w:highlight w:val="none"/>
          <w:lang w:val="en-US" w:eastAsia="zh-CN" w:bidi="ar"/>
        </w:rPr>
        <w:t>加强地方金融组织的监管。</w:t>
      </w:r>
      <w:r>
        <w:rPr>
          <w:rFonts w:hint="default" w:ascii="Times New Roman" w:hAnsi="Times New Roman" w:eastAsia="仿宋_GB2312" w:cs="Times New Roman"/>
          <w:b w:val="0"/>
          <w:bCs w:val="0"/>
          <w:sz w:val="32"/>
          <w:szCs w:val="32"/>
          <w:highlight w:val="none"/>
          <w:lang w:val="en-US" w:eastAsia="zh-CN"/>
        </w:rPr>
        <w:t>委托会计师事务所定期对辖内小额贷款公司和融资性担保公司开展现场检查并出具整改意见书，确保地方金融组织平稳健康发展。</w:t>
      </w:r>
      <w:r>
        <w:rPr>
          <w:rFonts w:hint="default" w:ascii="Times New Roman" w:hAnsi="Times New Roman" w:eastAsia="仿宋_GB2312" w:cs="Times New Roman"/>
          <w:b w:val="0"/>
          <w:bCs w:val="0"/>
          <w:color w:val="auto"/>
          <w:kern w:val="0"/>
          <w:sz w:val="32"/>
          <w:szCs w:val="32"/>
          <w:highlight w:val="none"/>
          <w:lang w:val="en-US" w:eastAsia="zh-CN" w:bidi="ar"/>
        </w:rPr>
        <w:t>严守非法集资工作底板。</w:t>
      </w:r>
      <w:r>
        <w:rPr>
          <w:rFonts w:hint="default" w:ascii="Times New Roman" w:hAnsi="Times New Roman" w:eastAsia="仿宋_GB2312" w:cs="Times New Roman"/>
          <w:b w:val="0"/>
          <w:bCs w:val="0"/>
          <w:kern w:val="2"/>
          <w:sz w:val="32"/>
          <w:szCs w:val="32"/>
          <w:highlight w:val="none"/>
          <w:lang w:val="en-US" w:eastAsia="zh-CN"/>
        </w:rPr>
        <w:t>建立</w:t>
      </w:r>
      <w:r>
        <w:rPr>
          <w:rFonts w:hint="default" w:ascii="Times New Roman" w:hAnsi="Times New Roman" w:eastAsia="仿宋_GB2312" w:cs="Times New Roman"/>
          <w:b w:val="0"/>
          <w:bCs w:val="0"/>
          <w:spacing w:val="-6"/>
          <w:sz w:val="32"/>
          <w:szCs w:val="32"/>
          <w:highlight w:val="none"/>
        </w:rPr>
        <w:t>防范化解涉众型非法经营活动稳定风险联席会议制度</w:t>
      </w:r>
      <w:r>
        <w:rPr>
          <w:rFonts w:hint="default" w:ascii="Times New Roman" w:hAnsi="Times New Roman" w:eastAsia="仿宋_GB2312" w:cs="Times New Roman"/>
          <w:b w:val="0"/>
          <w:bCs w:val="0"/>
          <w:spacing w:val="-6"/>
          <w:sz w:val="32"/>
          <w:szCs w:val="32"/>
          <w:highlight w:val="none"/>
          <w:lang w:eastAsia="zh-CN"/>
        </w:rPr>
        <w:t>，</w:t>
      </w:r>
      <w:r>
        <w:rPr>
          <w:rFonts w:hint="default" w:ascii="Times New Roman" w:hAnsi="Times New Roman" w:eastAsia="仿宋_GB2312" w:cs="Times New Roman"/>
          <w:b w:val="0"/>
          <w:bCs w:val="0"/>
          <w:kern w:val="2"/>
          <w:sz w:val="32"/>
          <w:szCs w:val="32"/>
          <w:highlight w:val="none"/>
          <w:lang w:val="en-US" w:eastAsia="zh-CN"/>
        </w:rPr>
        <w:t>积极开展养老领域非法集资专项整治行动；精准开展防非宣传工作，联合街道开展集中宣传活动；进一步强化打早打小，</w:t>
      </w:r>
      <w:r>
        <w:rPr>
          <w:rFonts w:hint="default" w:ascii="Times New Roman" w:hAnsi="Times New Roman" w:eastAsia="仿宋_GB2312" w:cs="Times New Roman"/>
          <w:kern w:val="2"/>
          <w:sz w:val="32"/>
          <w:szCs w:val="32"/>
          <w:highlight w:val="none"/>
          <w:lang w:val="en-US" w:eastAsia="zh-CN"/>
        </w:rPr>
        <w:t>通过现场检查、提醒约谈、资金清退、责令整顿、停业注销等方式及时掌控风险苗头，提前打早打小化解风险隐患。</w:t>
      </w:r>
    </w:p>
    <w:p w14:paraId="5E01225C">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楷体_GB2312" w:cs="Times New Roman"/>
          <w:b/>
          <w:bCs/>
          <w:sz w:val="32"/>
          <w:szCs w:val="32"/>
          <w:highlight w:val="none"/>
        </w:rPr>
      </w:pPr>
      <w:r>
        <w:rPr>
          <w:rFonts w:hint="default" w:ascii="Times New Roman" w:hAnsi="Times New Roman" w:eastAsia="楷体_GB2312" w:cs="Times New Roman"/>
          <w:b/>
          <w:bCs/>
          <w:sz w:val="32"/>
          <w:szCs w:val="32"/>
          <w:highlight w:val="none"/>
        </w:rPr>
        <w:t>（二）部门整体支出规模、使用方向和主要内容、涉及范围等。</w:t>
      </w:r>
    </w:p>
    <w:p w14:paraId="6A6875C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2023年度支出合计1305.29万元，其中：基本支出214.01万元，人员经费175.49万元</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和</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公用经费38.52万元；项目支出1091.28万元，</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主要用于各项目的开支。</w:t>
      </w:r>
    </w:p>
    <w:p w14:paraId="1923257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二、部门整体支出管理及使用情况</w:t>
      </w:r>
    </w:p>
    <w:p w14:paraId="092795C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2023年度支出合计1305.29万元，其中：基本支出214.01万元，项目支出1091.28万元</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。具体安排情况如下：</w:t>
      </w:r>
    </w:p>
    <w:p w14:paraId="5DC1AA4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
          <w:bCs/>
          <w:sz w:val="32"/>
          <w:szCs w:val="32"/>
          <w:highlight w:val="none"/>
        </w:rPr>
        <w:t>（一）基本支出</w:t>
      </w: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是指为保障单位机构正常运转、完成日常工作任务而发生的各项支出，包括用于基本工资、津贴补贴等人员经费以及办公费、印刷费、水电费、办公设备购置等日常公用经费。</w:t>
      </w:r>
    </w:p>
    <w:p w14:paraId="2D29666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w:t>
      </w:r>
      <w:r>
        <w:rPr>
          <w:rFonts w:hint="eastAsia"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年部门基本支出</w:t>
      </w:r>
      <w:r>
        <w:rPr>
          <w:rFonts w:hint="eastAsia" w:eastAsia="仿宋_GB2312" w:cs="Times New Roman"/>
          <w:b w:val="0"/>
          <w:bCs w:val="0"/>
          <w:color w:val="000000" w:themeColor="text1"/>
          <w:kern w:val="0"/>
          <w:sz w:val="32"/>
          <w:szCs w:val="32"/>
          <w:highlight w:val="none"/>
          <w:lang w:val="en-US" w:eastAsia="zh-CN"/>
          <w14:textFill>
            <w14:solidFill>
              <w14:schemeClr w14:val="tx1"/>
            </w14:solidFill>
          </w14:textFill>
        </w:rPr>
        <w:t>214.01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万元，其中人员经费</w:t>
      </w:r>
      <w:r>
        <w:rPr>
          <w:rFonts w:hint="eastAsia" w:eastAsia="仿宋_GB2312" w:cs="Times New Roman"/>
          <w:color w:val="000000" w:themeColor="text1"/>
          <w:sz w:val="32"/>
          <w:szCs w:val="32"/>
          <w:highlight w:val="none"/>
          <w:lang w:val="en-US" w:eastAsia="zh-CN"/>
          <w14:textFill>
            <w14:solidFill>
              <w14:schemeClr w14:val="tx1"/>
            </w14:solidFill>
          </w14:textFill>
        </w:rPr>
        <w:t>175.49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万元、日常公用经费</w:t>
      </w:r>
      <w:r>
        <w:rPr>
          <w:rFonts w:hint="eastAsia" w:eastAsia="仿宋_GB2312" w:cs="Times New Roman"/>
          <w:color w:val="000000" w:themeColor="text1"/>
          <w:sz w:val="32"/>
          <w:szCs w:val="32"/>
          <w:highlight w:val="none"/>
          <w:lang w:val="en-US" w:eastAsia="zh-CN"/>
          <w14:textFill>
            <w14:solidFill>
              <w14:schemeClr w14:val="tx1"/>
            </w14:solidFill>
          </w14:textFill>
        </w:rPr>
        <w:t>38.52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万元。日常公用经费中三公经费支出</w:t>
      </w:r>
      <w:r>
        <w:rPr>
          <w:rFonts w:hint="eastAsia" w:eastAsia="仿宋_GB2312" w:cs="Times New Roman"/>
          <w:color w:val="000000" w:themeColor="text1"/>
          <w:sz w:val="32"/>
          <w:szCs w:val="32"/>
          <w:highlight w:val="none"/>
          <w:lang w:val="en-US" w:eastAsia="zh-CN"/>
          <w14:textFill>
            <w14:solidFill>
              <w14:schemeClr w14:val="tx1"/>
            </w14:solidFill>
          </w14:textFill>
        </w:rPr>
        <w:t>4.4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万元，会议费</w:t>
      </w:r>
      <w:r>
        <w:rPr>
          <w:rFonts w:hint="eastAsia" w:eastAsia="仿宋_GB2312" w:cs="Times New Roman"/>
          <w:color w:val="000000" w:themeColor="text1"/>
          <w:sz w:val="32"/>
          <w:szCs w:val="32"/>
          <w:highlight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eastAsia"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培训费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eastAsia" w:eastAsia="仿宋_GB2312" w:cs="Times New Roman"/>
          <w:color w:val="000000" w:themeColor="text1"/>
          <w:sz w:val="32"/>
          <w:szCs w:val="32"/>
          <w:highlight w:val="none"/>
          <w:lang w:val="en-US" w:eastAsia="zh-CN"/>
          <w14:textFill>
            <w14:solidFill>
              <w14:schemeClr w14:val="tx1"/>
            </w14:solidFill>
          </w14:textFill>
        </w:rPr>
        <w:t>.93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万元。通过自查，基本支出符合国家财经法规和财务管理制度规定以及有关项目资金管理办法的规定，资金使用规范，资金拨付有完整的审批程序和手续，三公经费未超年初预算，资金管理和预算执行情况较好。</w:t>
      </w:r>
    </w:p>
    <w:p w14:paraId="00399342">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
          <w:bCs/>
          <w:sz w:val="32"/>
          <w:szCs w:val="32"/>
          <w:highlight w:val="none"/>
        </w:rPr>
        <w:t>（二）项目支出</w:t>
      </w: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是指单位为完成特定行政工作任务或事业发展目标而发生的支出，包括有关事业发展专项、专项业务费、基本建设支出、对市市专项补助等。</w:t>
      </w:r>
    </w:p>
    <w:p w14:paraId="2FEAE94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w:t>
      </w:r>
      <w:r>
        <w:rPr>
          <w:rFonts w:hint="eastAsia"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年度，本单位收到各级项目资金</w:t>
      </w:r>
      <w:r>
        <w:rPr>
          <w:rFonts w:hint="eastAsia" w:eastAsia="仿宋_GB2312" w:cs="Times New Roman"/>
          <w:color w:val="000000" w:themeColor="text1"/>
          <w:sz w:val="32"/>
          <w:szCs w:val="32"/>
          <w:highlight w:val="none"/>
          <w:lang w:val="en-US" w:eastAsia="zh-CN"/>
          <w14:textFill>
            <w14:solidFill>
              <w14:schemeClr w14:val="tx1"/>
            </w14:solidFill>
          </w14:textFill>
        </w:rPr>
        <w:t>1091.28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万元，其中本级项目资金合计</w:t>
      </w:r>
      <w:r>
        <w:rPr>
          <w:rFonts w:hint="eastAsia" w:eastAsia="仿宋_GB2312" w:cs="Times New Roman"/>
          <w:color w:val="000000" w:themeColor="text1"/>
          <w:sz w:val="32"/>
          <w:szCs w:val="32"/>
          <w:highlight w:val="none"/>
          <w:lang w:val="en-US" w:eastAsia="zh-CN"/>
          <w14:textFill>
            <w14:solidFill>
              <w14:schemeClr w14:val="tx1"/>
            </w14:solidFill>
          </w14:textFill>
        </w:rPr>
        <w:t>1091.28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万元，本年已投入使用各级项目资金</w:t>
      </w:r>
      <w:r>
        <w:rPr>
          <w:rFonts w:hint="eastAsia" w:eastAsia="仿宋_GB2312" w:cs="Times New Roman"/>
          <w:color w:val="000000" w:themeColor="text1"/>
          <w:sz w:val="32"/>
          <w:szCs w:val="32"/>
          <w:highlight w:val="none"/>
          <w:lang w:val="en-US" w:eastAsia="zh-CN"/>
          <w14:textFill>
            <w14:solidFill>
              <w14:schemeClr w14:val="tx1"/>
            </w14:solidFill>
          </w14:textFill>
        </w:rPr>
        <w:t>1091.28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万元。本年度项目支出主要有其他巩固脱贫攻坚成果衔接乡村振兴支出</w:t>
      </w:r>
      <w:r>
        <w:rPr>
          <w:rFonts w:hint="eastAsia" w:eastAsia="仿宋_GB2312" w:cs="Times New Roman"/>
          <w:color w:val="000000" w:themeColor="text1"/>
          <w:sz w:val="32"/>
          <w:szCs w:val="32"/>
          <w:highlight w:val="none"/>
          <w:lang w:val="en-US" w:eastAsia="zh-CN"/>
          <w14:textFill>
            <w14:solidFill>
              <w14:schemeClr w14:val="tx1"/>
            </w14:solidFill>
          </w14:textFill>
        </w:rPr>
        <w:t>69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eastAsia" w:eastAsia="仿宋_GB2312" w:cs="Times New Roman"/>
          <w:color w:val="000000" w:themeColor="text1"/>
          <w:sz w:val="32"/>
          <w:szCs w:val="32"/>
          <w:highlight w:val="none"/>
          <w:lang w:val="en-US" w:eastAsia="zh-CN"/>
          <w14:textFill>
            <w14:solidFill>
              <w14:schemeClr w14:val="tx1"/>
            </w14:solidFill>
          </w14:textFill>
        </w:rPr>
        <w:t>产业发展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支出</w:t>
      </w:r>
      <w:r>
        <w:rPr>
          <w:rFonts w:hint="eastAsia" w:eastAsia="仿宋_GB2312" w:cs="Times New Roman"/>
          <w:color w:val="000000" w:themeColor="text1"/>
          <w:sz w:val="32"/>
          <w:szCs w:val="32"/>
          <w:highlight w:val="none"/>
          <w:lang w:val="en-US" w:eastAsia="zh-CN"/>
          <w14:textFill>
            <w14:solidFill>
              <w14:schemeClr w14:val="tx1"/>
            </w14:solidFill>
          </w14:textFill>
        </w:rPr>
        <w:t>300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金融支出</w:t>
      </w:r>
      <w:r>
        <w:rPr>
          <w:rFonts w:hint="eastAsia" w:eastAsia="仿宋_GB2312" w:cs="Times New Roman"/>
          <w:color w:val="000000" w:themeColor="text1"/>
          <w:sz w:val="32"/>
          <w:szCs w:val="32"/>
          <w:highlight w:val="none"/>
          <w:lang w:val="en-US" w:eastAsia="zh-CN"/>
          <w14:textFill>
            <w14:solidFill>
              <w14:schemeClr w14:val="tx1"/>
            </w14:solidFill>
          </w14:textFill>
        </w:rPr>
        <w:t>等722.28</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万元。</w:t>
      </w:r>
    </w:p>
    <w:p w14:paraId="247F3DA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14:paraId="5D13EE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三、部门项目组织实施情况</w:t>
      </w:r>
    </w:p>
    <w:p w14:paraId="54067635">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
          <w:bCs/>
          <w:sz w:val="32"/>
          <w:szCs w:val="32"/>
          <w:highlight w:val="none"/>
        </w:rPr>
        <w:t>项目组织和管理情况</w:t>
      </w:r>
      <w:r>
        <w:rPr>
          <w:rFonts w:hint="default" w:ascii="Times New Roman" w:hAnsi="Times New Roman" w:eastAsia="楷体_GB2312" w:cs="Times New Roman"/>
          <w:b/>
          <w:bCs/>
          <w:sz w:val="32"/>
          <w:szCs w:val="32"/>
          <w:highlight w:val="none"/>
          <w:lang w:eastAsia="zh-CN"/>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本单位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w:t>
      </w:r>
      <w:r>
        <w:rPr>
          <w:rFonts w:hint="eastAsia"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p>
    <w:p w14:paraId="3E19754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四、资产管理情况</w:t>
      </w:r>
    </w:p>
    <w:p w14:paraId="75C749F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本单位年初固定资产</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27.79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万元，年初累计折旧</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23.08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万元，净值</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4.71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万元，年末固定资产原值</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25.92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万元，累计折旧</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23.</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36</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万元，净值</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2.56</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按照财政要求，本年度对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本单位资产</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进行了全面清理核实，本单位资产</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保存完整、使用合规、配置合理、处置规范，资产管理情况较好。</w:t>
      </w:r>
    </w:p>
    <w:p w14:paraId="14417D9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五、</w:t>
      </w:r>
      <w:r>
        <w:rPr>
          <w:rFonts w:hint="default" w:ascii="Times New Roman" w:hAnsi="Times New Roman" w:eastAsia="黑体" w:cs="Times New Roman"/>
          <w:sz w:val="32"/>
          <w:szCs w:val="32"/>
          <w:highlight w:val="none"/>
        </w:rPr>
        <w:t>部门整体支出绩效情况</w:t>
      </w:r>
    </w:p>
    <w:p w14:paraId="4BD53732">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本</w:t>
      </w:r>
      <w:r>
        <w:rPr>
          <w:rFonts w:hint="eastAsia" w:ascii="Times New Roman" w:hAnsi="Times New Roman" w:eastAsia="仿宋_GB2312"/>
          <w:sz w:val="32"/>
          <w:szCs w:val="32"/>
        </w:rPr>
        <w:t>单位按照下达的预算批复，开源节流，严格控制预算支出，并按要求进行了预决算公开。整体支出控制在预算额度内，各项经费开支严格按标准支出。项目预算控制较好，特别是一般性支出节约程度较高，“三公经费”支出降低，进一步做到厉行节约，发挥了财政资金的最大经济效益，项目资金收入</w:t>
      </w:r>
      <w:r>
        <w:rPr>
          <w:rFonts w:hint="eastAsia" w:ascii="Times New Roman" w:hAnsi="Times New Roman" w:eastAsia="仿宋_GB2312"/>
          <w:sz w:val="32"/>
          <w:szCs w:val="32"/>
          <w:lang w:val="en-US" w:eastAsia="zh-CN"/>
        </w:rPr>
        <w:t>1091.28</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1091.28</w:t>
      </w:r>
      <w:r>
        <w:rPr>
          <w:rFonts w:hint="eastAsia" w:ascii="Times New Roman" w:hAnsi="Times New Roman" w:eastAsia="仿宋_GB2312"/>
          <w:sz w:val="32"/>
          <w:szCs w:val="32"/>
        </w:rPr>
        <w:t>万元，全部为财政资金，资金到位率100%，实际使用率100%，资金使用的效率性较高</w:t>
      </w:r>
      <w:r>
        <w:rPr>
          <w:rFonts w:hint="eastAsia" w:ascii="Times New Roman" w:hAnsi="Times New Roman" w:eastAsia="仿宋_GB2312"/>
          <w:sz w:val="32"/>
          <w:szCs w:val="32"/>
          <w:lang w:eastAsia="zh-CN"/>
        </w:rPr>
        <w:t>。</w:t>
      </w:r>
    </w:p>
    <w:p w14:paraId="191FAFC8">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sz w:val="32"/>
          <w:szCs w:val="32"/>
          <w:lang w:eastAsia="zh-CN"/>
        </w:rPr>
        <w:t>本年度</w:t>
      </w:r>
      <w:r>
        <w:rPr>
          <w:rFonts w:hint="eastAsia" w:ascii="Times New Roman" w:hAnsi="Times New Roman" w:eastAsia="仿宋_GB2312"/>
          <w:sz w:val="32"/>
          <w:szCs w:val="32"/>
        </w:rPr>
        <w:t>在强化业务管理、财务管理和厉行节约方面展开了行之有效的工作，行政效能显著。</w:t>
      </w:r>
      <w:r>
        <w:rPr>
          <w:rFonts w:hint="eastAsia" w:ascii="Times New Roman" w:hAnsi="Times New Roman" w:eastAsia="仿宋_GB2312"/>
          <w:sz w:val="32"/>
          <w:szCs w:val="32"/>
          <w:lang w:eastAsia="zh-CN"/>
        </w:rPr>
        <w:t>一是</w:t>
      </w:r>
      <w:r>
        <w:rPr>
          <w:rFonts w:hint="eastAsia" w:ascii="Times New Roman" w:hAnsi="Times New Roman" w:eastAsia="仿宋_GB2312"/>
          <w:sz w:val="32"/>
          <w:szCs w:val="32"/>
        </w:rPr>
        <w:t>加强监管，以提升效益为导向，全面实施绩效管理。以强化管理为中心，稳步提升业务水平。以专项检查为抓手，更加规范财政管理</w:t>
      </w:r>
      <w:r>
        <w:rPr>
          <w:rFonts w:hint="eastAsia" w:ascii="Times New Roman" w:hAnsi="Times New Roman" w:eastAsia="仿宋_GB2312"/>
          <w:sz w:val="32"/>
          <w:szCs w:val="32"/>
          <w:lang w:eastAsia="zh-CN"/>
        </w:rPr>
        <w:t>；二是</w:t>
      </w:r>
      <w:r>
        <w:rPr>
          <w:rFonts w:hint="eastAsia" w:ascii="Times New Roman" w:hAnsi="Times New Roman" w:eastAsia="仿宋_GB2312"/>
          <w:sz w:val="32"/>
          <w:szCs w:val="32"/>
        </w:rPr>
        <w:t>加强党建，坚持以党建工作为引领，实施“党建+业务”模式，全面提升干部素质，进一步提升干部服务经济发展、服务人民群众的整体能力。</w:t>
      </w:r>
    </w:p>
    <w:p w14:paraId="66C70E3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六、存在的主要问题</w:t>
      </w:r>
    </w:p>
    <w:p w14:paraId="21958830">
      <w:pPr>
        <w:pStyle w:val="18"/>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一是</w:t>
      </w:r>
      <w:r>
        <w:rPr>
          <w:rFonts w:hint="eastAsia" w:ascii="Times New Roman" w:hAnsi="Times New Roman" w:eastAsia="仿宋_GB2312"/>
          <w:sz w:val="32"/>
          <w:szCs w:val="32"/>
        </w:rPr>
        <w:t>财务管理科学化、精细化有待进一步加强。</w:t>
      </w:r>
      <w:r>
        <w:rPr>
          <w:rFonts w:hint="eastAsia" w:ascii="Times New Roman" w:hAnsi="Times New Roman" w:eastAsia="仿宋_GB2312"/>
          <w:sz w:val="32"/>
          <w:szCs w:val="32"/>
          <w:lang w:eastAsia="zh-CN"/>
        </w:rPr>
        <w:t>二是</w:t>
      </w:r>
      <w:r>
        <w:rPr>
          <w:rFonts w:hint="eastAsia" w:ascii="Times New Roman" w:hAnsi="Times New Roman" w:eastAsia="仿宋_GB2312"/>
          <w:sz w:val="32"/>
          <w:szCs w:val="32"/>
        </w:rPr>
        <w:t>预算执行和绩效运行监督管理工作仍需进一步提高。</w:t>
      </w:r>
    </w:p>
    <w:p w14:paraId="3A0C577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七、</w:t>
      </w:r>
      <w:r>
        <w:rPr>
          <w:rFonts w:hint="default" w:ascii="Times New Roman" w:hAnsi="Times New Roman" w:eastAsia="黑体" w:cs="Times New Roman"/>
          <w:sz w:val="32"/>
          <w:szCs w:val="32"/>
          <w:highlight w:val="none"/>
        </w:rPr>
        <w:t>改进措施和有关建议</w:t>
      </w:r>
    </w:p>
    <w:p w14:paraId="5C9ACF1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bCs/>
          <w:color w:val="000000"/>
          <w:sz w:val="32"/>
          <w:szCs w:val="32"/>
          <w:highlight w:val="none"/>
          <w:lang w:val="en-US" w:eastAsia="zh-CN"/>
        </w:rPr>
      </w:pPr>
      <w:r>
        <w:rPr>
          <w:rFonts w:hint="default" w:ascii="Times New Roman" w:hAnsi="Times New Roman" w:eastAsia="仿宋_GB2312" w:cs="Times New Roman"/>
          <w:bCs/>
          <w:color w:val="000000"/>
          <w:sz w:val="32"/>
          <w:szCs w:val="32"/>
          <w:highlight w:val="none"/>
          <w:lang w:val="en-US" w:eastAsia="zh-CN"/>
        </w:rPr>
        <w:t>我单位将进一步完善财务管理体制，提高经费使用效益、强化财务风险管理。提高决算编制及时性合理性。</w:t>
      </w:r>
    </w:p>
    <w:p w14:paraId="6CE51346">
      <w:pPr>
        <w:pStyle w:val="3"/>
        <w:keepNext w:val="0"/>
        <w:keepLines w:val="0"/>
        <w:pageBreakBefore w:val="0"/>
        <w:widowControl w:val="0"/>
        <w:kinsoku/>
        <w:wordWrap/>
        <w:overflowPunct/>
        <w:topLinePunct w:val="0"/>
        <w:autoSpaceDE/>
        <w:autoSpaceDN/>
        <w:bidi w:val="0"/>
        <w:adjustRightInd/>
        <w:snapToGrid/>
        <w:ind w:left="0" w:leftChars="0" w:firstLine="0" w:firstLineChars="0"/>
        <w:rPr>
          <w:rFonts w:hint="default" w:ascii="Times New Roman" w:hAnsi="Times New Roman" w:eastAsia="黑体" w:cs="Times New Roman"/>
          <w:i w:val="0"/>
          <w:iCs w:val="0"/>
          <w:color w:val="000000"/>
          <w:kern w:val="0"/>
          <w:sz w:val="28"/>
          <w:szCs w:val="28"/>
          <w:highlight w:val="none"/>
          <w:u w:val="none"/>
          <w:lang w:val="en-US" w:eastAsia="zh-CN" w:bidi="ar"/>
        </w:rPr>
      </w:pPr>
    </w:p>
    <w:p w14:paraId="13EB678F">
      <w:pPr>
        <w:pStyle w:val="3"/>
        <w:keepNext w:val="0"/>
        <w:keepLines w:val="0"/>
        <w:pageBreakBefore w:val="0"/>
        <w:widowControl w:val="0"/>
        <w:kinsoku/>
        <w:wordWrap/>
        <w:overflowPunct/>
        <w:topLinePunct w:val="0"/>
        <w:autoSpaceDE/>
        <w:autoSpaceDN/>
        <w:bidi w:val="0"/>
        <w:adjustRightInd/>
        <w:snapToGrid/>
        <w:ind w:left="0" w:leftChars="0" w:firstLine="0" w:firstLineChars="0"/>
        <w:rPr>
          <w:rFonts w:hint="default" w:ascii="Times New Roman" w:hAnsi="Times New Roman" w:eastAsia="黑体" w:cs="Times New Roman"/>
          <w:i w:val="0"/>
          <w:iCs w:val="0"/>
          <w:color w:val="000000"/>
          <w:kern w:val="0"/>
          <w:sz w:val="28"/>
          <w:szCs w:val="28"/>
          <w:highlight w:val="none"/>
          <w:u w:val="none"/>
          <w:lang w:val="en-US" w:eastAsia="zh-CN" w:bidi="ar"/>
        </w:rPr>
      </w:pPr>
    </w:p>
    <w:p w14:paraId="67587F96">
      <w:pPr>
        <w:pStyle w:val="3"/>
        <w:keepNext w:val="0"/>
        <w:keepLines w:val="0"/>
        <w:pageBreakBefore w:val="0"/>
        <w:widowControl w:val="0"/>
        <w:kinsoku/>
        <w:wordWrap/>
        <w:overflowPunct/>
        <w:topLinePunct w:val="0"/>
        <w:autoSpaceDE/>
        <w:autoSpaceDN/>
        <w:bidi w:val="0"/>
        <w:adjustRightInd/>
        <w:snapToGrid/>
        <w:ind w:left="0" w:leftChars="0" w:firstLine="0" w:firstLineChars="0"/>
        <w:rPr>
          <w:rFonts w:hint="default" w:ascii="Times New Roman" w:hAnsi="Times New Roman" w:eastAsia="黑体" w:cs="Times New Roman"/>
          <w:i w:val="0"/>
          <w:iCs w:val="0"/>
          <w:color w:val="000000"/>
          <w:kern w:val="0"/>
          <w:sz w:val="28"/>
          <w:szCs w:val="28"/>
          <w:highlight w:val="none"/>
          <w:u w:val="none"/>
          <w:lang w:val="en-US" w:eastAsia="zh-CN" w:bidi="ar"/>
        </w:rPr>
      </w:pPr>
    </w:p>
    <w:p w14:paraId="5F7E0E74">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roman"/>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hZmE4M2IyN2IwNGIyZmUzYWQyZDE0MTkyODI5Y2IifQ=="/>
    <w:docVar w:name="KSO_WPS_MARK_KEY" w:val="7cd1df98-2efb-4a6d-b75e-8f1c44dd0acb"/>
  </w:docVars>
  <w:rsids>
    <w:rsidRoot w:val="00000000"/>
    <w:rsid w:val="01A52705"/>
    <w:rsid w:val="035F44C3"/>
    <w:rsid w:val="04214D56"/>
    <w:rsid w:val="06AF0471"/>
    <w:rsid w:val="087E26DF"/>
    <w:rsid w:val="09EA6F07"/>
    <w:rsid w:val="19EA5483"/>
    <w:rsid w:val="1D941552"/>
    <w:rsid w:val="216434F4"/>
    <w:rsid w:val="25956469"/>
    <w:rsid w:val="26223675"/>
    <w:rsid w:val="30F65957"/>
    <w:rsid w:val="31932568"/>
    <w:rsid w:val="334119DE"/>
    <w:rsid w:val="33951DBC"/>
    <w:rsid w:val="3F945DF4"/>
    <w:rsid w:val="42694606"/>
    <w:rsid w:val="42A665C3"/>
    <w:rsid w:val="42A72228"/>
    <w:rsid w:val="43A65635"/>
    <w:rsid w:val="44064E36"/>
    <w:rsid w:val="48A63AC1"/>
    <w:rsid w:val="49502C48"/>
    <w:rsid w:val="53734A39"/>
    <w:rsid w:val="583B7BD9"/>
    <w:rsid w:val="5A02006D"/>
    <w:rsid w:val="5E115821"/>
    <w:rsid w:val="64F56499"/>
    <w:rsid w:val="67177252"/>
    <w:rsid w:val="6A9C6F1F"/>
    <w:rsid w:val="6EFF0BE2"/>
    <w:rsid w:val="761614BE"/>
    <w:rsid w:val="7757D384"/>
    <w:rsid w:val="778A226E"/>
    <w:rsid w:val="790B3D52"/>
    <w:rsid w:val="7E3A287F"/>
    <w:rsid w:val="7F5B7E5B"/>
    <w:rsid w:val="FFAF1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_Style 1"/>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Normal Indent"/>
    <w:basedOn w:val="1"/>
    <w:autoRedefine/>
    <w:qFormat/>
    <w:uiPriority w:val="0"/>
    <w:pPr>
      <w:ind w:firstLine="420"/>
    </w:pPr>
    <w:rPr>
      <w:szCs w:val="20"/>
    </w:rPr>
  </w:style>
  <w:style w:type="paragraph" w:styleId="4">
    <w:name w:val="Body Text"/>
    <w:basedOn w:val="1"/>
    <w:next w:val="5"/>
    <w:autoRedefine/>
    <w:qFormat/>
    <w:uiPriority w:val="0"/>
    <w:pPr>
      <w:jc w:val="center"/>
    </w:pPr>
    <w:rPr>
      <w:rFonts w:ascii="Times New Roman" w:hAnsi="Times New Roman" w:eastAsia="宋体" w:cs="Times New Roman"/>
      <w:b/>
      <w:bCs/>
      <w:sz w:val="72"/>
    </w:rPr>
  </w:style>
  <w:style w:type="paragraph" w:styleId="5">
    <w:name w:val="toc 5"/>
    <w:basedOn w:val="1"/>
    <w:next w:val="1"/>
    <w:autoRedefine/>
    <w:qFormat/>
    <w:uiPriority w:val="0"/>
    <w:pPr>
      <w:ind w:left="1680" w:leftChars="800"/>
    </w:pPr>
    <w:rPr>
      <w:rFonts w:ascii="等线" w:hAnsi="等线" w:eastAsia="等线" w:cs="Times New Roman"/>
      <w:szCs w:val="22"/>
    </w:rPr>
  </w:style>
  <w:style w:type="paragraph" w:styleId="6">
    <w:name w:val="Body Text Indent"/>
    <w:basedOn w:val="1"/>
    <w:autoRedefine/>
    <w:qFormat/>
    <w:uiPriority w:val="0"/>
    <w:pPr>
      <w:spacing w:after="120"/>
      <w:ind w:left="420" w:leftChars="200"/>
    </w:pPr>
    <w:rPr>
      <w:rFonts w:ascii="Times New Roman" w:hAnsi="Times New Roman" w:eastAsia="宋体" w:cs="Times New Roman"/>
    </w:rPr>
  </w:style>
  <w:style w:type="paragraph" w:styleId="7">
    <w:name w:val="endnote text"/>
    <w:basedOn w:val="1"/>
    <w:next w:val="4"/>
    <w:autoRedefine/>
    <w:qFormat/>
    <w:uiPriority w:val="0"/>
    <w:rPr>
      <w:rFonts w:ascii="Times New Roman" w:hAnsi="Times New Roman"/>
    </w:rPr>
  </w:style>
  <w:style w:type="paragraph" w:styleId="8">
    <w:name w:val="Normal (Web)"/>
    <w:basedOn w:val="1"/>
    <w:autoRedefine/>
    <w:qFormat/>
    <w:uiPriority w:val="0"/>
    <w:pPr>
      <w:spacing w:beforeAutospacing="1" w:afterAutospacing="1"/>
      <w:jc w:val="left"/>
    </w:pPr>
    <w:rPr>
      <w:rFonts w:cs="Times New Roman"/>
      <w:kern w:val="0"/>
      <w:sz w:val="24"/>
    </w:rPr>
  </w:style>
  <w:style w:type="paragraph" w:styleId="9">
    <w:name w:val="Body Text First Indent 2"/>
    <w:basedOn w:val="6"/>
    <w:autoRedefine/>
    <w:qFormat/>
    <w:uiPriority w:val="0"/>
    <w:pPr>
      <w:ind w:firstLine="420"/>
      <w:jc w:val="left"/>
    </w:pPr>
    <w:rPr>
      <w:rFonts w:ascii="Times New Roman" w:hAnsi="Times New Roman" w:eastAsia="宋体" w:cs="Times New Roman"/>
      <w:sz w:val="32"/>
      <w:szCs w:val="32"/>
    </w:rPr>
  </w:style>
  <w:style w:type="character" w:customStyle="1" w:styleId="12">
    <w:name w:val="font41"/>
    <w:basedOn w:val="11"/>
    <w:autoRedefine/>
    <w:qFormat/>
    <w:uiPriority w:val="0"/>
    <w:rPr>
      <w:rFonts w:ascii="黑体" w:hAnsi="宋体" w:eastAsia="黑体" w:cs="黑体"/>
      <w:color w:val="000000"/>
      <w:sz w:val="20"/>
      <w:szCs w:val="20"/>
      <w:u w:val="none"/>
    </w:rPr>
  </w:style>
  <w:style w:type="character" w:customStyle="1" w:styleId="13">
    <w:name w:val="font01"/>
    <w:basedOn w:val="11"/>
    <w:autoRedefine/>
    <w:qFormat/>
    <w:uiPriority w:val="0"/>
    <w:rPr>
      <w:rFonts w:hint="eastAsia" w:ascii="宋体" w:hAnsi="宋体" w:eastAsia="宋体" w:cs="宋体"/>
      <w:color w:val="000000"/>
      <w:sz w:val="20"/>
      <w:szCs w:val="20"/>
      <w:u w:val="none"/>
    </w:rPr>
  </w:style>
  <w:style w:type="character" w:customStyle="1" w:styleId="14">
    <w:name w:val="font51"/>
    <w:basedOn w:val="11"/>
    <w:autoRedefine/>
    <w:qFormat/>
    <w:uiPriority w:val="0"/>
    <w:rPr>
      <w:rFonts w:hint="eastAsia" w:ascii="宋体" w:hAnsi="宋体" w:eastAsia="宋体" w:cs="宋体"/>
      <w:b/>
      <w:bCs/>
      <w:color w:val="000000"/>
      <w:sz w:val="20"/>
      <w:szCs w:val="20"/>
      <w:u w:val="none"/>
    </w:rPr>
  </w:style>
  <w:style w:type="character" w:customStyle="1" w:styleId="15">
    <w:name w:val="font61"/>
    <w:basedOn w:val="11"/>
    <w:autoRedefine/>
    <w:qFormat/>
    <w:uiPriority w:val="0"/>
    <w:rPr>
      <w:rFonts w:hint="default" w:ascii="Times New Roman" w:hAnsi="Times New Roman" w:cs="Times New Roman"/>
      <w:color w:val="000000"/>
      <w:sz w:val="20"/>
      <w:szCs w:val="20"/>
      <w:u w:val="none"/>
    </w:rPr>
  </w:style>
  <w:style w:type="character" w:customStyle="1" w:styleId="16">
    <w:name w:val="font91"/>
    <w:basedOn w:val="11"/>
    <w:autoRedefine/>
    <w:qFormat/>
    <w:uiPriority w:val="0"/>
    <w:rPr>
      <w:rFonts w:ascii="DejaVu Sans" w:hAnsi="DejaVu Sans" w:eastAsia="DejaVu Sans" w:cs="DejaVu Sans"/>
      <w:color w:val="000000"/>
      <w:sz w:val="28"/>
      <w:szCs w:val="28"/>
      <w:u w:val="none"/>
    </w:rPr>
  </w:style>
  <w:style w:type="character" w:customStyle="1" w:styleId="17">
    <w:name w:val="font31"/>
    <w:basedOn w:val="11"/>
    <w:autoRedefine/>
    <w:qFormat/>
    <w:uiPriority w:val="0"/>
    <w:rPr>
      <w:rFonts w:hint="default" w:ascii="Times New Roman" w:hAnsi="Times New Roman" w:cs="Times New Roman"/>
      <w:color w:val="000000"/>
      <w:sz w:val="20"/>
      <w:szCs w:val="20"/>
      <w:u w:val="none"/>
    </w:rPr>
  </w:style>
  <w:style w:type="paragraph" w:customStyle="1" w:styleId="18">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5344</Words>
  <Characters>5824</Characters>
  <Lines>0</Lines>
  <Paragraphs>0</Paragraphs>
  <TotalTime>0</TotalTime>
  <ScaleCrop>false</ScaleCrop>
  <LinksUpToDate>false</LinksUpToDate>
  <CharactersWithSpaces>6286</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2023-04-06T23:11:00Z</dcterms:created>
  <dc:creator>叶</dc:creator>
  <cp:lastModifiedBy>绿巨人</cp:lastModifiedBy>
  <cp:lastPrinted>2023-06-30T20:26:00Z</cp:lastPrinted>
  <dcterms:modified xsi:type="dcterms:W3CDTF">2025-09-18T15:16:33Z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FE8F14C2ADD1DC81320308659CE65EA1</vt:lpwstr>
  </property>
</Properties>
</file>