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default" w:ascii="Times New Roman" w:hAnsi="Times New Roman" w:eastAsia="方正小标宋简体" w:cs="Times New Roman"/>
          <w:b w:val="0"/>
          <w:bCs/>
          <w:kern w:val="0"/>
          <w:sz w:val="44"/>
          <w:szCs w:val="44"/>
          <w:highlight w:val="none"/>
          <w:lang w:val="en-US" w:eastAsia="zh-CN"/>
        </w:rPr>
      </w:pPr>
      <w:r>
        <w:rPr>
          <w:rFonts w:hint="default" w:ascii="Times New Roman" w:hAnsi="Times New Roman" w:eastAsia="方正小标宋简体" w:cs="Times New Roman"/>
          <w:b w:val="0"/>
          <w:bCs/>
          <w:kern w:val="0"/>
          <w:sz w:val="44"/>
          <w:szCs w:val="44"/>
          <w:highlight w:val="none"/>
          <w:lang w:val="en-US" w:eastAsia="zh-CN"/>
        </w:rPr>
        <w:t>宁乡市金融事务中心</w:t>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default" w:ascii="Times New Roman" w:hAnsi="Times New Roman" w:eastAsia="方正小标宋简体" w:cs="Times New Roman"/>
          <w:b w:val="0"/>
          <w:bCs/>
          <w:kern w:val="0"/>
          <w:sz w:val="44"/>
          <w:szCs w:val="44"/>
          <w:highlight w:val="none"/>
        </w:rPr>
      </w:pPr>
      <w:r>
        <w:rPr>
          <w:rFonts w:hint="default" w:ascii="Times New Roman" w:hAnsi="Times New Roman" w:eastAsia="方正小标宋简体" w:cs="Times New Roman"/>
          <w:b w:val="0"/>
          <w:bCs/>
          <w:kern w:val="0"/>
          <w:sz w:val="44"/>
          <w:szCs w:val="44"/>
          <w:highlight w:val="none"/>
          <w:lang w:val="en-US" w:eastAsia="zh-CN"/>
        </w:rPr>
        <w:t>2022</w:t>
      </w:r>
      <w:r>
        <w:rPr>
          <w:rFonts w:hint="default" w:ascii="Times New Roman" w:hAnsi="Times New Roman" w:eastAsia="方正小标宋简体" w:cs="Times New Roman"/>
          <w:b w:val="0"/>
          <w:bCs/>
          <w:kern w:val="0"/>
          <w:sz w:val="44"/>
          <w:szCs w:val="44"/>
          <w:highlight w:val="none"/>
        </w:rPr>
        <w:t>年</w:t>
      </w:r>
      <w:r>
        <w:rPr>
          <w:rFonts w:hint="default" w:ascii="Times New Roman" w:hAnsi="Times New Roman" w:eastAsia="方正小标宋简体" w:cs="Times New Roman"/>
          <w:b w:val="0"/>
          <w:bCs/>
          <w:kern w:val="0"/>
          <w:sz w:val="44"/>
          <w:szCs w:val="44"/>
          <w:highlight w:val="none"/>
          <w:lang w:eastAsia="zh-CN"/>
        </w:rPr>
        <w:t>部门</w:t>
      </w:r>
      <w:r>
        <w:rPr>
          <w:rFonts w:hint="default" w:ascii="Times New Roman" w:hAnsi="Times New Roman" w:eastAsia="方正小标宋简体" w:cs="Times New Roman"/>
          <w:b w:val="0"/>
          <w:bCs/>
          <w:kern w:val="0"/>
          <w:sz w:val="44"/>
          <w:szCs w:val="44"/>
          <w:highlight w:val="none"/>
        </w:rPr>
        <w:t>整体支出绩效自评报告</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880" w:firstLineChars="200"/>
        <w:jc w:val="center"/>
        <w:textAlignment w:val="auto"/>
        <w:rPr>
          <w:rFonts w:hint="default" w:ascii="Times New Roman" w:hAnsi="Times New Roman" w:eastAsia="方正小标宋简体" w:cs="Times New Roman"/>
          <w:b w:val="0"/>
          <w:bCs/>
          <w:kern w:val="0"/>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一、部门概况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left"/>
        <w:textAlignment w:val="auto"/>
        <w:rPr>
          <w:rFonts w:hint="default" w:ascii="Times New Roman" w:hAnsi="Times New Roman" w:eastAsia="楷体_GB2312" w:cs="Times New Roman"/>
          <w:b/>
          <w:bCs/>
          <w:sz w:val="32"/>
          <w:szCs w:val="32"/>
          <w:highlight w:val="none"/>
        </w:rPr>
      </w:pPr>
      <w:r>
        <w:rPr>
          <w:rFonts w:hint="default" w:ascii="Times New Roman" w:hAnsi="Times New Roman" w:eastAsia="楷体_GB2312" w:cs="Times New Roman"/>
          <w:b/>
          <w:bCs/>
          <w:sz w:val="32"/>
          <w:szCs w:val="32"/>
          <w:highlight w:val="none"/>
        </w:rPr>
        <w:t>（一）部门基本情况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bCs/>
          <w:sz w:val="32"/>
          <w:szCs w:val="32"/>
          <w:highlight w:val="none"/>
        </w:rPr>
        <w:t>1</w:t>
      </w:r>
      <w:r>
        <w:rPr>
          <w:rFonts w:hint="default" w:ascii="Times New Roman" w:hAnsi="Times New Roman" w:eastAsia="仿宋_GB2312" w:cs="Times New Roman"/>
          <w:sz w:val="32"/>
          <w:szCs w:val="32"/>
          <w:highlight w:val="none"/>
        </w:rPr>
        <w:t>.机构设置</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bCs/>
          <w:color w:val="FF0000"/>
          <w:sz w:val="32"/>
          <w:szCs w:val="32"/>
          <w:highlight w:val="none"/>
        </w:rPr>
      </w:pPr>
      <w:r>
        <w:rPr>
          <w:rFonts w:hint="default" w:ascii="Times New Roman" w:hAnsi="Times New Roman" w:eastAsia="仿宋_GB2312" w:cs="Times New Roman"/>
          <w:color w:val="333333"/>
          <w:sz w:val="32"/>
          <w:szCs w:val="32"/>
          <w:highlight w:val="none"/>
        </w:rPr>
        <w:t>根据《宁乡市人民政府机构改革方案的实施意见》（宁办</w:t>
      </w:r>
      <w:r>
        <w:rPr>
          <w:rFonts w:hint="default" w:ascii="Times New Roman" w:hAnsi="Times New Roman" w:eastAsia="仿宋_GB2312" w:cs="Times New Roman"/>
          <w:color w:val="000000"/>
          <w:sz w:val="32"/>
          <w:szCs w:val="32"/>
          <w:highlight w:val="none"/>
        </w:rPr>
        <w:t>〔2019〕</w:t>
      </w:r>
      <w:r>
        <w:rPr>
          <w:rFonts w:hint="default" w:ascii="Times New Roman" w:hAnsi="Times New Roman" w:eastAsia="仿宋_GB2312" w:cs="Times New Roman"/>
          <w:color w:val="333333"/>
          <w:sz w:val="32"/>
          <w:szCs w:val="32"/>
          <w:highlight w:val="none"/>
        </w:rPr>
        <w:t>47号）文件的要求，市委、市政府组建宁乡市金融事务中心，属市人民政府直属事业单位。核定编制</w:t>
      </w:r>
      <w:r>
        <w:rPr>
          <w:rFonts w:hint="default" w:ascii="Times New Roman" w:hAnsi="Times New Roman" w:eastAsia="仿宋_GB2312" w:cs="Times New Roman"/>
          <w:color w:val="333333"/>
          <w:sz w:val="32"/>
          <w:szCs w:val="32"/>
          <w:highlight w:val="none"/>
          <w:lang w:val="en-US" w:eastAsia="zh-CN"/>
        </w:rPr>
        <w:t>11</w:t>
      </w:r>
      <w:r>
        <w:rPr>
          <w:rFonts w:hint="default" w:ascii="Times New Roman" w:hAnsi="Times New Roman" w:eastAsia="仿宋_GB2312" w:cs="Times New Roman"/>
          <w:color w:val="333333"/>
          <w:sz w:val="32"/>
          <w:szCs w:val="32"/>
          <w:highlight w:val="none"/>
        </w:rPr>
        <w:t>名，在编人员</w:t>
      </w:r>
      <w:r>
        <w:rPr>
          <w:rFonts w:hint="default" w:ascii="Times New Roman" w:hAnsi="Times New Roman" w:eastAsia="仿宋_GB2312" w:cs="Times New Roman"/>
          <w:color w:val="333333"/>
          <w:sz w:val="32"/>
          <w:szCs w:val="32"/>
          <w:highlight w:val="none"/>
          <w:lang w:val="en-US" w:eastAsia="zh-CN"/>
        </w:rPr>
        <w:t>10</w:t>
      </w:r>
      <w:r>
        <w:rPr>
          <w:rFonts w:hint="default" w:ascii="Times New Roman" w:hAnsi="Times New Roman" w:eastAsia="仿宋_GB2312" w:cs="Times New Roman"/>
          <w:color w:val="333333"/>
          <w:sz w:val="32"/>
          <w:szCs w:val="32"/>
          <w:highlight w:val="none"/>
        </w:rPr>
        <w:t>人，实有在岗人员1</w:t>
      </w:r>
      <w:r>
        <w:rPr>
          <w:rFonts w:hint="default" w:ascii="Times New Roman" w:hAnsi="Times New Roman" w:eastAsia="仿宋_GB2312" w:cs="Times New Roman"/>
          <w:color w:val="333333"/>
          <w:sz w:val="32"/>
          <w:szCs w:val="32"/>
          <w:highlight w:val="none"/>
          <w:lang w:val="en-US" w:eastAsia="zh-CN"/>
        </w:rPr>
        <w:t>2</w:t>
      </w:r>
      <w:r>
        <w:rPr>
          <w:rFonts w:hint="default" w:ascii="Times New Roman" w:hAnsi="Times New Roman" w:eastAsia="仿宋_GB2312" w:cs="Times New Roman"/>
          <w:color w:val="333333"/>
          <w:sz w:val="32"/>
          <w:szCs w:val="32"/>
          <w:highlight w:val="none"/>
        </w:rPr>
        <w:t>人，其中编制外合同聘用2名。设综合科、发展科、服务科三个内设科室，无二级机</w:t>
      </w:r>
      <w:r>
        <w:rPr>
          <w:rFonts w:hint="default" w:ascii="Times New Roman" w:hAnsi="Times New Roman" w:eastAsia="仿宋_GB2312" w:cs="Times New Roman"/>
          <w:color w:val="auto"/>
          <w:sz w:val="32"/>
          <w:szCs w:val="32"/>
          <w:highlight w:val="none"/>
        </w:rPr>
        <w:t>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职能职责</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textAlignment w:val="center"/>
        <w:rPr>
          <w:rFonts w:hint="default" w:ascii="Times New Roman" w:hAnsi="Times New Roman" w:eastAsia="仿宋_GB2312" w:cs="Times New Roman"/>
          <w:color w:val="333333"/>
          <w:sz w:val="32"/>
          <w:szCs w:val="32"/>
          <w:highlight w:val="none"/>
        </w:rPr>
      </w:pP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lang w:val="en-US" w:eastAsia="zh-CN"/>
        </w:rPr>
        <w:t>1</w:t>
      </w: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rPr>
        <w:t>执行国家有关金融工作的方针政策和法律法规，协助行政主管部门草拟全市金融业发展中长期发展规划并配合实施。</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textAlignment w:val="center"/>
        <w:rPr>
          <w:rFonts w:hint="default" w:ascii="Times New Roman" w:hAnsi="Times New Roman" w:eastAsia="仿宋_GB2312" w:cs="Times New Roman"/>
          <w:color w:val="333333"/>
          <w:sz w:val="32"/>
          <w:szCs w:val="32"/>
          <w:highlight w:val="none"/>
        </w:rPr>
      </w:pP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lang w:val="en-US" w:eastAsia="zh-CN"/>
        </w:rPr>
        <w:t>2</w:t>
      </w: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rPr>
        <w:t>研究分析宏观金融形势、金融政策和全市金融运行情况，协助行政主管部门草拟引导金融业服务地方经济社会发展的建议措施。</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textAlignment w:val="center"/>
        <w:rPr>
          <w:rFonts w:hint="default" w:ascii="Times New Roman" w:hAnsi="Times New Roman" w:eastAsia="仿宋_GB2312" w:cs="Times New Roman"/>
          <w:color w:val="333333"/>
          <w:sz w:val="32"/>
          <w:szCs w:val="32"/>
          <w:highlight w:val="none"/>
        </w:rPr>
      </w:pP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lang w:val="en-US" w:eastAsia="zh-CN"/>
        </w:rPr>
        <w:t>3</w:t>
      </w: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rPr>
        <w:t>负责联系、引进、协调、服务各类金融机构。</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textAlignment w:val="center"/>
        <w:rPr>
          <w:rFonts w:hint="default" w:ascii="Times New Roman" w:hAnsi="Times New Roman" w:eastAsia="仿宋_GB2312" w:cs="Times New Roman"/>
          <w:color w:val="333333"/>
          <w:sz w:val="32"/>
          <w:szCs w:val="32"/>
          <w:highlight w:val="none"/>
        </w:rPr>
      </w:pP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lang w:val="en-US" w:eastAsia="zh-CN"/>
        </w:rPr>
        <w:t>4</w:t>
      </w: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rPr>
        <w:t>促进政府与金融机构的合作、金融机构和企业的对接，引导、协调和鼓励金融机构加大对全市经济社会发展的支持力度。</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textAlignment w:val="center"/>
        <w:rPr>
          <w:rFonts w:hint="default" w:ascii="Times New Roman" w:hAnsi="Times New Roman" w:eastAsia="仿宋_GB2312" w:cs="Times New Roman"/>
          <w:color w:val="333333"/>
          <w:sz w:val="32"/>
          <w:szCs w:val="32"/>
          <w:highlight w:val="none"/>
        </w:rPr>
      </w:pP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lang w:val="en-US" w:eastAsia="zh-CN"/>
        </w:rPr>
        <w:t>5</w:t>
      </w: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rPr>
        <w:t>推进全市多层次资本市场建设与发展，负责全市企业上市后备资源培育，推进全市企业挂牌、上市、并购等工作。</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textAlignment w:val="center"/>
        <w:rPr>
          <w:rFonts w:hint="default" w:ascii="Times New Roman" w:hAnsi="Times New Roman" w:eastAsia="仿宋_GB2312" w:cs="Times New Roman"/>
          <w:color w:val="333333"/>
          <w:sz w:val="32"/>
          <w:szCs w:val="32"/>
          <w:highlight w:val="none"/>
        </w:rPr>
      </w:pP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lang w:val="en-US" w:eastAsia="zh-CN"/>
        </w:rPr>
        <w:t>6</w:t>
      </w: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rPr>
        <w:t>协助行政主管部门维护辖区内金融秩序和金融安全。</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textAlignment w:val="center"/>
        <w:rPr>
          <w:rFonts w:hint="default" w:ascii="Times New Roman" w:hAnsi="Times New Roman" w:eastAsia="仿宋_GB2312" w:cs="Times New Roman"/>
          <w:color w:val="333333"/>
          <w:sz w:val="32"/>
          <w:szCs w:val="32"/>
          <w:highlight w:val="none"/>
        </w:rPr>
      </w:pP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lang w:val="en-US" w:eastAsia="zh-CN"/>
        </w:rPr>
        <w:t>7</w:t>
      </w: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rPr>
        <w:t>协助行政主管部门推动全市保险体系的建设，促进全市保险市场规范化发展。</w:t>
      </w:r>
    </w:p>
    <w:p>
      <w:pPr>
        <w:pStyle w:val="7"/>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0" w:leftChars="0" w:firstLine="640" w:firstLineChars="200"/>
        <w:textAlignment w:val="center"/>
        <w:rPr>
          <w:rFonts w:hint="default" w:ascii="Times New Roman" w:hAnsi="Times New Roman" w:eastAsia="仿宋_GB2312" w:cs="Times New Roman"/>
          <w:color w:val="333333"/>
          <w:sz w:val="32"/>
          <w:szCs w:val="32"/>
          <w:highlight w:val="none"/>
        </w:rPr>
      </w:pP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lang w:val="en-US" w:eastAsia="zh-CN"/>
        </w:rPr>
        <w:t>8</w:t>
      </w:r>
      <w:r>
        <w:rPr>
          <w:rFonts w:hint="default" w:ascii="Times New Roman" w:hAnsi="Times New Roman" w:eastAsia="仿宋_GB2312" w:cs="Times New Roman"/>
          <w:color w:val="333333"/>
          <w:sz w:val="32"/>
          <w:szCs w:val="32"/>
          <w:highlight w:val="none"/>
          <w:lang w:eastAsia="zh-CN"/>
        </w:rPr>
        <w:t>）</w:t>
      </w:r>
      <w:r>
        <w:rPr>
          <w:rFonts w:hint="default" w:ascii="Times New Roman" w:hAnsi="Times New Roman" w:eastAsia="仿宋_GB2312" w:cs="Times New Roman"/>
          <w:color w:val="333333"/>
          <w:sz w:val="32"/>
          <w:szCs w:val="32"/>
          <w:highlight w:val="none"/>
        </w:rPr>
        <w:t>完成市委、市人民政府交办的其他工作任务。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3.重点工作计划</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sz w:val="32"/>
          <w:szCs w:val="32"/>
          <w:highlight w:val="none"/>
          <w:lang w:eastAsia="zh-CN"/>
        </w:rPr>
      </w:pPr>
      <w:r>
        <w:rPr>
          <w:rFonts w:hint="default" w:ascii="Times New Roman" w:hAnsi="Times New Roman" w:eastAsia="仿宋_GB2312" w:cs="Times New Roman"/>
          <w:b w:val="0"/>
          <w:bCs w:val="0"/>
          <w:kern w:val="0"/>
          <w:sz w:val="32"/>
          <w:szCs w:val="32"/>
          <w:highlight w:val="none"/>
          <w:lang w:val="en-US" w:eastAsia="zh-CN" w:bidi="ar"/>
        </w:rPr>
        <w:t>（1）注重政金良性互动，信贷投放稳步增长。</w:t>
      </w:r>
      <w:r>
        <w:rPr>
          <w:rFonts w:hint="default" w:ascii="Times New Roman" w:hAnsi="Times New Roman" w:eastAsia="仿宋_GB2312" w:cs="Times New Roman"/>
          <w:b w:val="0"/>
          <w:bCs w:val="0"/>
          <w:sz w:val="32"/>
          <w:szCs w:val="32"/>
          <w:highlight w:val="none"/>
          <w:lang w:eastAsia="zh-CN"/>
        </w:rPr>
        <w:t>高度重视与银信部门的联系沟通，为辖区争取更优信贷服务打好了基础。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kern w:val="0"/>
          <w:sz w:val="32"/>
          <w:szCs w:val="32"/>
          <w:highlight w:val="none"/>
          <w:lang w:val="en-US" w:eastAsia="zh-CN" w:bidi="ar"/>
        </w:rPr>
      </w:pPr>
      <w:r>
        <w:rPr>
          <w:rFonts w:hint="default" w:ascii="Times New Roman" w:hAnsi="Times New Roman" w:eastAsia="仿宋_GB2312" w:cs="Times New Roman"/>
          <w:b w:val="0"/>
          <w:bCs w:val="0"/>
          <w:kern w:val="0"/>
          <w:sz w:val="32"/>
          <w:szCs w:val="32"/>
          <w:highlight w:val="none"/>
          <w:lang w:val="en-US" w:eastAsia="zh-CN" w:bidi="ar"/>
        </w:rPr>
        <w:t>（2）注重资本市场培育，促企上市有序推进。对标省政府“金芙蓉”跃升行动、长沙市“岳麓登峰”行动制定《宁乡市加快推进企业上市行动方案（2022-2026年）》，45家优质企业入选省、长沙及宁乡上市后备企业名录，并从中精选20家作为重点培育对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b w:val="0"/>
          <w:bCs w:val="0"/>
          <w:kern w:val="0"/>
          <w:sz w:val="32"/>
          <w:szCs w:val="32"/>
          <w:highlight w:val="none"/>
          <w:lang w:val="en-US" w:eastAsia="zh-CN" w:bidi="ar"/>
        </w:rPr>
      </w:pPr>
      <w:r>
        <w:rPr>
          <w:rFonts w:hint="default" w:ascii="Times New Roman" w:hAnsi="Times New Roman" w:eastAsia="仿宋_GB2312" w:cs="Times New Roman"/>
          <w:b w:val="0"/>
          <w:bCs w:val="0"/>
          <w:kern w:val="0"/>
          <w:sz w:val="32"/>
          <w:szCs w:val="32"/>
          <w:highlight w:val="none"/>
          <w:lang w:val="en-US" w:eastAsia="zh-CN" w:bidi="ar"/>
        </w:rPr>
        <w:t>（3）注重金融服务创新，缓解融资问题有实招。</w:t>
      </w:r>
      <w:r>
        <w:rPr>
          <w:rFonts w:hint="default" w:ascii="Times New Roman" w:hAnsi="Times New Roman" w:eastAsia="仿宋_GB2312" w:cs="Times New Roman"/>
          <w:b w:val="0"/>
          <w:bCs w:val="0"/>
          <w:color w:val="auto"/>
          <w:kern w:val="0"/>
          <w:sz w:val="32"/>
          <w:szCs w:val="32"/>
          <w:highlight w:val="none"/>
          <w:lang w:val="en-US" w:eastAsia="zh-CN" w:bidi="ar"/>
        </w:rPr>
        <w:t>稳妥运作转贷资金，</w:t>
      </w:r>
      <w:r>
        <w:rPr>
          <w:rFonts w:hint="default" w:ascii="Times New Roman" w:hAnsi="Times New Roman" w:eastAsia="仿宋_GB2312" w:cs="Times New Roman"/>
          <w:b w:val="0"/>
          <w:bCs w:val="0"/>
          <w:kern w:val="2"/>
          <w:sz w:val="32"/>
          <w:szCs w:val="32"/>
          <w:highlight w:val="none"/>
          <w:lang w:eastAsia="zh-CN"/>
        </w:rPr>
        <w:t>将转贷应急周转资金作为支持实体经济尤其是中小微企业的有力抓手，</w:t>
      </w:r>
      <w:r>
        <w:rPr>
          <w:rFonts w:hint="default" w:ascii="Times New Roman" w:hAnsi="Times New Roman" w:eastAsia="仿宋_GB2312" w:cs="Times New Roman"/>
          <w:b w:val="0"/>
          <w:bCs w:val="0"/>
          <w:sz w:val="32"/>
          <w:szCs w:val="32"/>
          <w:highlight w:val="none"/>
          <w:lang w:val="en-US" w:eastAsia="zh-CN"/>
        </w:rPr>
        <w:t>更好地服务企业；</w:t>
      </w:r>
      <w:r>
        <w:rPr>
          <w:rFonts w:hint="default" w:ascii="Times New Roman" w:hAnsi="Times New Roman" w:eastAsia="仿宋_GB2312" w:cs="Times New Roman"/>
          <w:b w:val="0"/>
          <w:bCs w:val="0"/>
          <w:color w:val="auto"/>
          <w:kern w:val="0"/>
          <w:sz w:val="32"/>
          <w:szCs w:val="32"/>
          <w:highlight w:val="none"/>
          <w:lang w:val="en-US" w:eastAsia="zh-CN" w:bidi="ar"/>
        </w:rPr>
        <w:t>探索拓展产业基金，</w:t>
      </w:r>
      <w:r>
        <w:rPr>
          <w:rFonts w:hint="default" w:ascii="Times New Roman" w:hAnsi="Times New Roman" w:eastAsia="仿宋_GB2312" w:cs="Times New Roman"/>
          <w:b w:val="0"/>
          <w:bCs w:val="0"/>
          <w:kern w:val="0"/>
          <w:sz w:val="32"/>
          <w:szCs w:val="32"/>
          <w:highlight w:val="none"/>
          <w:lang w:val="en-US" w:eastAsia="zh-CN" w:bidi="ar"/>
        </w:rPr>
        <w:t>制定《宁乡市产业基金管理办法（试行）》，进一步整合国有公司资源要素，</w:t>
      </w:r>
      <w:r>
        <w:rPr>
          <w:rFonts w:hint="default" w:ascii="Times New Roman" w:hAnsi="Times New Roman" w:eastAsia="仿宋_GB2312" w:cs="Times New Roman"/>
          <w:b w:val="0"/>
          <w:bCs w:val="0"/>
          <w:sz w:val="32"/>
          <w:szCs w:val="32"/>
          <w:highlight w:val="none"/>
          <w:lang w:val="en-US" w:eastAsia="zh-CN"/>
        </w:rPr>
        <w:t>推动企业股权融资。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kern w:val="2"/>
          <w:sz w:val="32"/>
          <w:szCs w:val="32"/>
          <w:highlight w:val="none"/>
          <w:lang w:val="en-US" w:eastAsia="zh-CN"/>
        </w:rPr>
      </w:pPr>
      <w:r>
        <w:rPr>
          <w:rFonts w:hint="default" w:ascii="Times New Roman" w:hAnsi="Times New Roman" w:eastAsia="仿宋_GB2312" w:cs="Times New Roman"/>
          <w:b w:val="0"/>
          <w:bCs w:val="0"/>
          <w:kern w:val="0"/>
          <w:sz w:val="32"/>
          <w:szCs w:val="32"/>
          <w:highlight w:val="none"/>
          <w:lang w:val="en-US" w:eastAsia="zh-CN" w:bidi="ar"/>
        </w:rPr>
        <w:t>（4）注重金融环境建设，维护地方金融稳定有成效。</w:t>
      </w:r>
      <w:r>
        <w:rPr>
          <w:rFonts w:hint="default" w:ascii="Times New Roman" w:hAnsi="Times New Roman" w:eastAsia="仿宋_GB2312" w:cs="Times New Roman"/>
          <w:b w:val="0"/>
          <w:bCs w:val="0"/>
          <w:color w:val="auto"/>
          <w:kern w:val="0"/>
          <w:sz w:val="32"/>
          <w:szCs w:val="32"/>
          <w:highlight w:val="none"/>
          <w:lang w:val="en-US" w:eastAsia="zh-CN" w:bidi="ar"/>
        </w:rPr>
        <w:t>加强地方金融组织的监管。</w:t>
      </w:r>
      <w:r>
        <w:rPr>
          <w:rFonts w:hint="default" w:ascii="Times New Roman" w:hAnsi="Times New Roman" w:eastAsia="仿宋_GB2312" w:cs="Times New Roman"/>
          <w:b w:val="0"/>
          <w:bCs w:val="0"/>
          <w:sz w:val="32"/>
          <w:szCs w:val="32"/>
          <w:highlight w:val="none"/>
          <w:lang w:val="en-US" w:eastAsia="zh-CN"/>
        </w:rPr>
        <w:t>委托会计师事务所定期对辖内小额贷款公司和融资性担保公司开展现场检查并出具整改意见书，确保地方金融组织平稳健康发展。</w:t>
      </w:r>
      <w:r>
        <w:rPr>
          <w:rFonts w:hint="default" w:ascii="Times New Roman" w:hAnsi="Times New Roman" w:eastAsia="仿宋_GB2312" w:cs="Times New Roman"/>
          <w:b w:val="0"/>
          <w:bCs w:val="0"/>
          <w:color w:val="auto"/>
          <w:kern w:val="0"/>
          <w:sz w:val="32"/>
          <w:szCs w:val="32"/>
          <w:highlight w:val="none"/>
          <w:lang w:val="en-US" w:eastAsia="zh-CN" w:bidi="ar"/>
        </w:rPr>
        <w:t>严守非法集资工作底板。</w:t>
      </w:r>
      <w:r>
        <w:rPr>
          <w:rFonts w:hint="default" w:ascii="Times New Roman" w:hAnsi="Times New Roman" w:eastAsia="仿宋_GB2312" w:cs="Times New Roman"/>
          <w:b w:val="0"/>
          <w:bCs w:val="0"/>
          <w:kern w:val="2"/>
          <w:sz w:val="32"/>
          <w:szCs w:val="32"/>
          <w:highlight w:val="none"/>
          <w:lang w:val="en-US" w:eastAsia="zh-CN"/>
        </w:rPr>
        <w:t>建立</w:t>
      </w:r>
      <w:r>
        <w:rPr>
          <w:rFonts w:hint="default" w:ascii="Times New Roman" w:hAnsi="Times New Roman" w:eastAsia="仿宋_GB2312" w:cs="Times New Roman"/>
          <w:b w:val="0"/>
          <w:bCs w:val="0"/>
          <w:spacing w:val="-6"/>
          <w:sz w:val="32"/>
          <w:szCs w:val="32"/>
          <w:highlight w:val="none"/>
        </w:rPr>
        <w:t>防范化解涉众型非法经营活动稳定风险联席会议制度</w:t>
      </w:r>
      <w:r>
        <w:rPr>
          <w:rFonts w:hint="default" w:ascii="Times New Roman" w:hAnsi="Times New Roman" w:eastAsia="仿宋_GB2312" w:cs="Times New Roman"/>
          <w:b w:val="0"/>
          <w:bCs w:val="0"/>
          <w:spacing w:val="-6"/>
          <w:sz w:val="32"/>
          <w:szCs w:val="32"/>
          <w:highlight w:val="none"/>
          <w:lang w:eastAsia="zh-CN"/>
        </w:rPr>
        <w:t>，</w:t>
      </w:r>
      <w:r>
        <w:rPr>
          <w:rFonts w:hint="default" w:ascii="Times New Roman" w:hAnsi="Times New Roman" w:eastAsia="仿宋_GB2312" w:cs="Times New Roman"/>
          <w:b w:val="0"/>
          <w:bCs w:val="0"/>
          <w:kern w:val="2"/>
          <w:sz w:val="32"/>
          <w:szCs w:val="32"/>
          <w:highlight w:val="none"/>
          <w:lang w:val="en-US" w:eastAsia="zh-CN"/>
        </w:rPr>
        <w:t>积极开展养老领域非法集资专项整治行动；</w:t>
      </w:r>
      <w:r>
        <w:rPr>
          <w:rFonts w:hint="default" w:ascii="Times New Roman" w:hAnsi="Times New Roman" w:eastAsia="仿宋_GB2312" w:cs="Times New Roman"/>
          <w:b w:val="0"/>
          <w:bCs w:val="0"/>
          <w:kern w:val="2"/>
          <w:sz w:val="32"/>
          <w:szCs w:val="32"/>
          <w:highlight w:val="none"/>
          <w:lang w:val="en-US" w:eastAsia="zh-CN"/>
        </w:rPr>
        <w:t>精准开展防非宣传工作，联合街道开展集中宣传活动；进一步强化打早打小，</w:t>
      </w:r>
      <w:r>
        <w:rPr>
          <w:rFonts w:hint="default" w:ascii="Times New Roman" w:hAnsi="Times New Roman" w:eastAsia="仿宋_GB2312" w:cs="Times New Roman"/>
          <w:kern w:val="2"/>
          <w:sz w:val="32"/>
          <w:szCs w:val="32"/>
          <w:highlight w:val="none"/>
          <w:lang w:val="en-US" w:eastAsia="zh-CN"/>
        </w:rPr>
        <w:t>通过现场检查、提醒约谈、资金清退、责令整顿、停业注销等方式及时掌控风险苗头，提前打早打小化解风险隐患。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left"/>
        <w:textAlignment w:val="auto"/>
        <w:rPr>
          <w:rFonts w:hint="default" w:ascii="Times New Roman" w:hAnsi="Times New Roman" w:eastAsia="楷体_GB2312" w:cs="Times New Roman"/>
          <w:b/>
          <w:bCs/>
          <w:sz w:val="32"/>
          <w:szCs w:val="32"/>
          <w:highlight w:val="none"/>
        </w:rPr>
      </w:pPr>
      <w:r>
        <w:rPr>
          <w:rFonts w:hint="default" w:ascii="Times New Roman" w:hAnsi="Times New Roman" w:eastAsia="楷体_GB2312" w:cs="Times New Roman"/>
          <w:b/>
          <w:bCs/>
          <w:sz w:val="32"/>
          <w:szCs w:val="32"/>
          <w:highlight w:val="none"/>
        </w:rPr>
        <w:t>（二）部门整体支出规模、使用方向和主要内容、涉及范围等。</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FF0000"/>
          <w:sz w:val="32"/>
          <w:szCs w:val="32"/>
          <w:highlight w:val="none"/>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年部门支出总计</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1786.37</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万元，其中：基本支出</w:t>
      </w:r>
      <w:r>
        <w:rPr>
          <w:rFonts w:hint="default" w:ascii="Times New Roman" w:hAnsi="Times New Roman" w:eastAsia="仿宋_GB2312" w:cs="Times New Roman"/>
          <w:b w:val="0"/>
          <w:bCs w:val="0"/>
          <w:color w:val="000000" w:themeColor="text1"/>
          <w:kern w:val="0"/>
          <w:sz w:val="32"/>
          <w:szCs w:val="32"/>
          <w:highlight w:val="none"/>
          <w:lang w:val="en-US" w:eastAsia="zh-CN"/>
          <w14:textFill>
            <w14:solidFill>
              <w14:schemeClr w14:val="tx1"/>
            </w14:solidFill>
          </w14:textFill>
        </w:rPr>
        <w:t>221.15</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万元，主要包括人员经费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194.08</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万元和日常公用经费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27.07</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万元；项目支出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1565.22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万元，主要用于各项目的开支。</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t>二、部门整体支出管理及使用情况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年部门整体支出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1786.37</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万元，其中：基本支出</w:t>
      </w:r>
      <w:r>
        <w:rPr>
          <w:rFonts w:hint="default" w:ascii="Times New Roman" w:hAnsi="Times New Roman" w:eastAsia="仿宋_GB2312" w:cs="Times New Roman"/>
          <w:b w:val="0"/>
          <w:bCs w:val="0"/>
          <w:color w:val="000000" w:themeColor="text1"/>
          <w:kern w:val="0"/>
          <w:sz w:val="32"/>
          <w:szCs w:val="32"/>
          <w:highlight w:val="none"/>
          <w:lang w:val="en-US" w:eastAsia="zh-CN"/>
          <w14:textFill>
            <w14:solidFill>
              <w14:schemeClr w14:val="tx1"/>
            </w14:solidFill>
          </w14:textFill>
        </w:rPr>
        <w:t>221.15</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万元，项目支出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1565.22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具体安排情况如下：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楷体_GB2312" w:cs="Times New Roman"/>
          <w:b/>
          <w:bCs/>
          <w:sz w:val="32"/>
          <w:szCs w:val="32"/>
          <w:highlight w:val="none"/>
        </w:rPr>
        <w:t>（一）基本支出</w:t>
      </w:r>
      <w:r>
        <w:rPr>
          <w:rFonts w:hint="default" w:ascii="Times New Roman" w:hAnsi="Times New Roman" w:eastAsia="仿宋_GB2312" w:cs="Times New Roman"/>
          <w:b/>
          <w:bCs/>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是指为保障单位机构正常运转、完成日常工作任务而发生的各项支出，包括用于基本工资、津贴补贴等人员经费以及办公费、印刷费、水电费、办公设备购置等日常公用经费。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rPr>
          <w:rFonts w:hint="default" w:ascii="Times New Roman" w:hAnsi="Times New Roman" w:eastAsia="仿宋_GB2312" w:cs="Times New Roman"/>
          <w:color w:val="FF0000"/>
          <w:sz w:val="32"/>
          <w:szCs w:val="32"/>
          <w:highlight w:val="none"/>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年部门基本支出</w:t>
      </w:r>
      <w:r>
        <w:rPr>
          <w:rFonts w:hint="default" w:ascii="Times New Roman" w:hAnsi="Times New Roman" w:eastAsia="仿宋_GB2312" w:cs="Times New Roman"/>
          <w:b w:val="0"/>
          <w:bCs w:val="0"/>
          <w:color w:val="000000" w:themeColor="text1"/>
          <w:kern w:val="0"/>
          <w:sz w:val="32"/>
          <w:szCs w:val="32"/>
          <w:highlight w:val="none"/>
          <w:lang w:val="en-US" w:eastAsia="zh-CN"/>
          <w14:textFill>
            <w14:solidFill>
              <w14:schemeClr w14:val="tx1"/>
            </w14:solidFill>
          </w14:textFill>
        </w:rPr>
        <w:t>221.15</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万元，其中人员经费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194.08</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万元、日常公用经费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27.07</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万元。日常公用经费中三公经费支出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7.87</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万元，培训费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0</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万元，会议费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万元。通过自查，基本支出符合国家财经法规和财务管理制度规定以及有关项目资金管理办法的规定，资金使用规范，资金拨付有完整的审批程序和手续，三公经费未超年初预算，资金管理和预算执行情况较好。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楷体_GB2312" w:cs="Times New Roman"/>
          <w:b/>
          <w:bCs/>
          <w:sz w:val="32"/>
          <w:szCs w:val="32"/>
          <w:highlight w:val="none"/>
        </w:rPr>
        <w:t>（二）项目支出</w:t>
      </w:r>
      <w:r>
        <w:rPr>
          <w:rFonts w:hint="default" w:ascii="Times New Roman" w:hAnsi="Times New Roman" w:eastAsia="仿宋_GB2312" w:cs="Times New Roman"/>
          <w:b/>
          <w:bCs/>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是指单位为完成特定行政工作任务或事业发展目标而发生的支出，包括有关事业发展专项、专项业务费、基本建设支出、对市市专项补助等。</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年度，本单位收到各级项目资金</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1565.22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万元，其中本级项目资金合计</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1565.22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万元，本年已投入使用各级项目资金</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1565.22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万元。本年度项目支出主要有</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农林水</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支出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93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资源勘探工业信息等支出708.83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金融支出763.39万元。</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通过自查，项目支出符合国家财经法规和财务管理制度规定以及有关项目资金管理办法的规定，资金使用规范，专款专用，无随意调整现象，资金支付有完整的审批程序和手续，资金使用无截留、挤占、挪用、虚列支出等情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三、部门项目组织实施情况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left"/>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楷体_GB2312" w:cs="Times New Roman"/>
          <w:b/>
          <w:bCs/>
          <w:sz w:val="32"/>
          <w:szCs w:val="32"/>
          <w:highlight w:val="none"/>
        </w:rPr>
        <w:t>项目组织和管理情况</w:t>
      </w:r>
      <w:r>
        <w:rPr>
          <w:rFonts w:hint="default" w:ascii="Times New Roman" w:hAnsi="Times New Roman" w:eastAsia="楷体_GB2312" w:cs="Times New Roman"/>
          <w:b/>
          <w:bCs/>
          <w:sz w:val="32"/>
          <w:szCs w:val="32"/>
          <w:highlight w:val="none"/>
          <w:lang w:eastAsia="zh-CN"/>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本单位</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各项目组织过程合法合规，重大项目支出由单位领导集体研究决定，采购过程严格按照《中华人民共和国政府采购法》、《中华人民共和国政府采购法实施条例》、《政府采购非招标采购方式管理办法》（财政部令第74号）、《政府采购货物和服务招标投标管理办法》（财政部令第87号）、《湖南省政府采购非公开招标采购方式审批管理办法》等有关规定进行招投标采购，经费使用严格按照项目的实施进度进行支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四、资产管理情况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rPr>
          <w:rFonts w:hint="default" w:ascii="Times New Roman" w:hAnsi="Times New Roman" w:eastAsia="仿宋_GB2312" w:cs="Times New Roman"/>
          <w:color w:val="FF0000"/>
          <w:sz w:val="32"/>
          <w:szCs w:val="32"/>
          <w:highlight w:val="none"/>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本单位年初固定资产</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27.79</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万元，年初累计折旧</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20.93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万元，净值</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6.86</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万元，年末固定资产原值</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27.79</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万元，累计折旧</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23.08</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万元，净值</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4.71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按照财政要求，本年度对</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本单位资产</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进行了全面清理核实，本单位资产</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保存完整、使用合规、配置合理、处置规范，资产管理情况较好。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val="en-US" w:eastAsia="zh-CN"/>
        </w:rPr>
        <w:t>五、</w:t>
      </w:r>
      <w:r>
        <w:rPr>
          <w:rFonts w:hint="default" w:ascii="Times New Roman" w:hAnsi="Times New Roman" w:eastAsia="黑体" w:cs="Times New Roman"/>
          <w:sz w:val="32"/>
          <w:szCs w:val="32"/>
          <w:highlight w:val="none"/>
        </w:rPr>
        <w:t>部门整体支出绩效情况</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金融事务中心202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年项目预算控制较好，特别是一般性支出节约程度较高，“三公经费”支出降低，进一步做到厉行节约，发挥了财政资金的最大经济效益，</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项目资金收入</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1565.22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万元，支出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1565.22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万元，全部为财政资金，资金到位率100%，实际使用率100%，</w:t>
      </w:r>
      <w:r>
        <w:rPr>
          <w:rFonts w:hint="default" w:ascii="Times New Roman" w:hAnsi="Times New Roman" w:eastAsia="仿宋_GB2312" w:cs="Times New Roman"/>
          <w:sz w:val="32"/>
          <w:szCs w:val="32"/>
          <w:highlight w:val="none"/>
        </w:rPr>
        <w:t>资金使用的效率性较高，下阶段我单位将进一步完善单位各项制度，继续做好财政预决算、项目铺排、项目资金使用安排、项目成效跟踪等与绩效挂钩的各项流程，充分酝酿、严格把关，保障项目可持续发展。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六、存在的主要问题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bCs/>
          <w:color w:val="000000"/>
          <w:sz w:val="32"/>
          <w:szCs w:val="32"/>
          <w:highlight w:val="none"/>
        </w:rPr>
      </w:pPr>
      <w:r>
        <w:rPr>
          <w:rFonts w:hint="default" w:ascii="Times New Roman" w:hAnsi="Times New Roman" w:eastAsia="仿宋_GB2312" w:cs="Times New Roman"/>
          <w:bCs/>
          <w:color w:val="000000"/>
          <w:sz w:val="32"/>
          <w:szCs w:val="32"/>
          <w:highlight w:val="none"/>
        </w:rPr>
        <w:t>内控制度执行有待进一步加强</w:t>
      </w:r>
      <w:r>
        <w:rPr>
          <w:rFonts w:hint="default" w:ascii="Times New Roman" w:hAnsi="Times New Roman" w:eastAsia="仿宋_GB2312" w:cs="Times New Roman"/>
          <w:bCs/>
          <w:color w:val="000000"/>
          <w:sz w:val="32"/>
          <w:szCs w:val="32"/>
          <w:highlight w:val="none"/>
          <w:lang w:eastAsia="zh-CN"/>
        </w:rPr>
        <w:t>；</w:t>
      </w:r>
      <w:r>
        <w:rPr>
          <w:rFonts w:hint="default" w:ascii="Times New Roman" w:hAnsi="Times New Roman" w:eastAsia="仿宋_GB2312" w:cs="Times New Roman"/>
          <w:bCs/>
          <w:color w:val="000000"/>
          <w:sz w:val="32"/>
          <w:szCs w:val="32"/>
          <w:highlight w:val="none"/>
        </w:rPr>
        <w:t>固定资产管理规范性有待提高。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eastAsia="zh-CN"/>
        </w:rPr>
        <w:t>七、</w:t>
      </w:r>
      <w:r>
        <w:rPr>
          <w:rFonts w:hint="default" w:ascii="Times New Roman" w:hAnsi="Times New Roman" w:eastAsia="黑体" w:cs="Times New Roman"/>
          <w:sz w:val="32"/>
          <w:szCs w:val="32"/>
          <w:highlight w:val="none"/>
        </w:rPr>
        <w:t>改进措施和有关建议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bCs/>
          <w:color w:val="000000"/>
          <w:sz w:val="32"/>
          <w:szCs w:val="32"/>
          <w:highlight w:val="none"/>
          <w:lang w:val="en-US" w:eastAsia="zh-CN"/>
        </w:rPr>
      </w:pPr>
      <w:r>
        <w:rPr>
          <w:rFonts w:hint="default" w:ascii="Times New Roman" w:hAnsi="Times New Roman" w:eastAsia="仿宋_GB2312" w:cs="Times New Roman"/>
          <w:bCs/>
          <w:color w:val="000000"/>
          <w:sz w:val="32"/>
          <w:szCs w:val="32"/>
          <w:highlight w:val="none"/>
          <w:lang w:val="en-US" w:eastAsia="zh-CN"/>
        </w:rPr>
        <w:t>我单位将进一步完善财务管理体制，提高经费使用效益、强化财务风险管理。提高决算编制及时性合理性。</w:t>
      </w:r>
    </w:p>
    <w:p>
      <w:pPr>
        <w:pStyle w:val="2"/>
        <w:keepNext w:val="0"/>
        <w:keepLines w:val="0"/>
        <w:pageBreakBefore w:val="0"/>
        <w:widowControl w:val="0"/>
        <w:kinsoku/>
        <w:wordWrap/>
        <w:overflowPunct/>
        <w:topLinePunct w:val="0"/>
        <w:autoSpaceDE/>
        <w:autoSpaceDN/>
        <w:bidi w:val="0"/>
        <w:adjustRightInd/>
        <w:snapToGrid/>
        <w:ind w:left="0" w:leftChars="0" w:firstLine="0" w:firstLineChars="0"/>
        <w:rPr>
          <w:rFonts w:hint="default" w:ascii="Times New Roman" w:hAnsi="Times New Roman" w:eastAsia="黑体" w:cs="Times New Roman"/>
          <w:i w:val="0"/>
          <w:iCs w:val="0"/>
          <w:color w:val="000000"/>
          <w:kern w:val="0"/>
          <w:sz w:val="28"/>
          <w:szCs w:val="28"/>
          <w:highlight w:val="none"/>
          <w:u w:val="none"/>
          <w:lang w:val="en-US" w:eastAsia="zh-CN" w:bidi="ar"/>
        </w:rPr>
      </w:pPr>
    </w:p>
    <w:p>
      <w:pPr>
        <w:pStyle w:val="2"/>
        <w:keepNext w:val="0"/>
        <w:keepLines w:val="0"/>
        <w:pageBreakBefore w:val="0"/>
        <w:widowControl w:val="0"/>
        <w:kinsoku/>
        <w:wordWrap/>
        <w:overflowPunct/>
        <w:topLinePunct w:val="0"/>
        <w:autoSpaceDE/>
        <w:autoSpaceDN/>
        <w:bidi w:val="0"/>
        <w:adjustRightInd/>
        <w:snapToGrid/>
        <w:ind w:left="0" w:leftChars="0" w:firstLine="0" w:firstLineChars="0"/>
        <w:rPr>
          <w:rFonts w:hint="default" w:ascii="Times New Roman" w:hAnsi="Times New Roman" w:eastAsia="黑体" w:cs="Times New Roman"/>
          <w:i w:val="0"/>
          <w:iCs w:val="0"/>
          <w:color w:val="000000"/>
          <w:kern w:val="0"/>
          <w:sz w:val="28"/>
          <w:szCs w:val="28"/>
          <w:highlight w:val="none"/>
          <w:u w:val="none"/>
          <w:lang w:val="en-US" w:eastAsia="zh-CN" w:bidi="ar"/>
        </w:rPr>
      </w:pPr>
    </w:p>
    <w:p>
      <w:pPr>
        <w:pStyle w:val="2"/>
        <w:keepNext w:val="0"/>
        <w:keepLines w:val="0"/>
        <w:pageBreakBefore w:val="0"/>
        <w:widowControl w:val="0"/>
        <w:kinsoku/>
        <w:wordWrap/>
        <w:overflowPunct/>
        <w:topLinePunct w:val="0"/>
        <w:autoSpaceDE/>
        <w:autoSpaceDN/>
        <w:bidi w:val="0"/>
        <w:adjustRightInd/>
        <w:snapToGrid/>
        <w:ind w:left="0" w:leftChars="0" w:firstLine="0" w:firstLineChars="0"/>
        <w:rPr>
          <w:rFonts w:hint="default" w:ascii="Times New Roman" w:hAnsi="Times New Roman" w:eastAsia="黑体" w:cs="Times New Roman"/>
          <w:i w:val="0"/>
          <w:iCs w:val="0"/>
          <w:color w:val="000000"/>
          <w:kern w:val="0"/>
          <w:sz w:val="28"/>
          <w:szCs w:val="28"/>
          <w:highlight w:val="none"/>
          <w:u w:val="none"/>
          <w:lang w:val="en-US" w:eastAsia="zh-CN" w:bidi="ar"/>
        </w:rPr>
      </w:pPr>
    </w:p>
    <w:tbl>
      <w:tblPr>
        <w:tblStyle w:val="9"/>
        <w:tblW w:w="866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3"/>
        <w:gridCol w:w="471"/>
        <w:gridCol w:w="456"/>
        <w:gridCol w:w="471"/>
        <w:gridCol w:w="465"/>
        <w:gridCol w:w="330"/>
        <w:gridCol w:w="516"/>
        <w:gridCol w:w="864"/>
        <w:gridCol w:w="735"/>
        <w:gridCol w:w="855"/>
        <w:gridCol w:w="291"/>
        <w:gridCol w:w="669"/>
        <w:gridCol w:w="1080"/>
        <w:gridCol w:w="315"/>
        <w:gridCol w:w="428"/>
        <w:gridCol w:w="2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32" w:type="dxa"/>
          <w:trHeight w:val="519" w:hRule="atLeast"/>
        </w:trPr>
        <w:tc>
          <w:tcPr>
            <w:tcW w:w="4056" w:type="dxa"/>
            <w:gridSpan w:val="8"/>
            <w:tcBorders>
              <w:top w:val="nil"/>
              <w:left w:val="nil"/>
              <w:bottom w:val="nil"/>
              <w:right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32"/>
                <w:szCs w:val="32"/>
                <w:highlight w:val="none"/>
                <w:u w:val="none"/>
              </w:rPr>
            </w:pPr>
            <w:r>
              <w:rPr>
                <w:rFonts w:hint="default" w:ascii="Times New Roman" w:hAnsi="Times New Roman" w:eastAsia="宋体" w:cs="Times New Roman"/>
                <w:b/>
                <w:bCs/>
                <w:i w:val="0"/>
                <w:iCs w:val="0"/>
                <w:color w:val="auto"/>
                <w:kern w:val="0"/>
                <w:sz w:val="30"/>
                <w:szCs w:val="30"/>
                <w:highlight w:val="none"/>
                <w:u w:val="none"/>
                <w:lang w:val="en-US" w:eastAsia="zh-CN" w:bidi="ar"/>
              </w:rPr>
              <w:t>附件2-1</w:t>
            </w:r>
          </w:p>
        </w:tc>
        <w:tc>
          <w:tcPr>
            <w:tcW w:w="735" w:type="dxa"/>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2"/>
                <w:szCs w:val="22"/>
                <w:highlight w:val="none"/>
                <w:u w:val="none"/>
              </w:rPr>
            </w:pPr>
          </w:p>
        </w:tc>
        <w:tc>
          <w:tcPr>
            <w:tcW w:w="855" w:type="dxa"/>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2"/>
                <w:szCs w:val="22"/>
                <w:highlight w:val="none"/>
                <w:u w:val="none"/>
              </w:rPr>
            </w:pPr>
          </w:p>
        </w:tc>
        <w:tc>
          <w:tcPr>
            <w:tcW w:w="960" w:type="dxa"/>
            <w:gridSpan w:val="2"/>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2"/>
                <w:szCs w:val="22"/>
                <w:highlight w:val="none"/>
                <w:u w:val="none"/>
              </w:rPr>
            </w:pPr>
          </w:p>
        </w:tc>
        <w:tc>
          <w:tcPr>
            <w:tcW w:w="1080" w:type="dxa"/>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2"/>
                <w:szCs w:val="22"/>
                <w:highlight w:val="none"/>
                <w:u w:val="none"/>
              </w:rPr>
            </w:pPr>
          </w:p>
        </w:tc>
        <w:tc>
          <w:tcPr>
            <w:tcW w:w="743" w:type="dxa"/>
            <w:gridSpan w:val="2"/>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74" w:hRule="atLeast"/>
        </w:trPr>
        <w:tc>
          <w:tcPr>
            <w:tcW w:w="8429" w:type="dxa"/>
            <w:gridSpan w:val="15"/>
            <w:tcBorders>
              <w:top w:val="nil"/>
              <w:left w:val="nil"/>
              <w:bottom w:val="nil"/>
              <w:right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方正小标宋简体" w:cs="Times New Roman"/>
                <w:i w:val="0"/>
                <w:iCs w:val="0"/>
                <w:color w:val="auto"/>
                <w:sz w:val="40"/>
                <w:szCs w:val="40"/>
                <w:highlight w:val="none"/>
                <w:u w:val="none"/>
              </w:rPr>
            </w:pPr>
            <w:r>
              <w:rPr>
                <w:rFonts w:hint="default" w:ascii="Times New Roman" w:hAnsi="Times New Roman" w:eastAsia="方正小标宋简体" w:cs="Times New Roman"/>
                <w:i w:val="0"/>
                <w:iCs w:val="0"/>
                <w:color w:val="auto"/>
                <w:kern w:val="0"/>
                <w:sz w:val="36"/>
                <w:szCs w:val="36"/>
                <w:highlight w:val="none"/>
                <w:u w:val="none"/>
                <w:lang w:val="en-US" w:eastAsia="zh-CN" w:bidi="ar"/>
              </w:rPr>
              <w:t>部门整体支出绩效自评基础数据表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360" w:hRule="atLeast"/>
        </w:trPr>
        <w:tc>
          <w:tcPr>
            <w:tcW w:w="4056" w:type="dxa"/>
            <w:gridSpan w:val="8"/>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8"/>
                <w:szCs w:val="28"/>
                <w:highlight w:val="none"/>
                <w:u w:val="none"/>
              </w:rPr>
            </w:pPr>
            <w:r>
              <w:rPr>
                <w:rFonts w:hint="default" w:ascii="Times New Roman" w:hAnsi="Times New Roman" w:eastAsia="楷体_GB2312" w:cs="Times New Roman"/>
                <w:i w:val="0"/>
                <w:iCs w:val="0"/>
                <w:color w:val="auto"/>
                <w:kern w:val="0"/>
                <w:sz w:val="28"/>
                <w:szCs w:val="28"/>
                <w:highlight w:val="none"/>
                <w:u w:val="none"/>
                <w:lang w:val="en-US" w:eastAsia="zh-CN" w:bidi="ar"/>
              </w:rPr>
              <w:t>填报单位：宁乡市金融事务中心</w:t>
            </w:r>
          </w:p>
        </w:tc>
        <w:tc>
          <w:tcPr>
            <w:tcW w:w="735" w:type="dxa"/>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8"/>
                <w:szCs w:val="28"/>
                <w:highlight w:val="none"/>
                <w:u w:val="none"/>
              </w:rPr>
            </w:pPr>
          </w:p>
        </w:tc>
        <w:tc>
          <w:tcPr>
            <w:tcW w:w="855" w:type="dxa"/>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8"/>
                <w:szCs w:val="28"/>
                <w:highlight w:val="none"/>
                <w:u w:val="none"/>
              </w:rPr>
            </w:pPr>
          </w:p>
        </w:tc>
        <w:tc>
          <w:tcPr>
            <w:tcW w:w="960" w:type="dxa"/>
            <w:gridSpan w:val="2"/>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8"/>
                <w:szCs w:val="28"/>
                <w:highlight w:val="none"/>
                <w:u w:val="none"/>
              </w:rPr>
            </w:pPr>
          </w:p>
        </w:tc>
        <w:tc>
          <w:tcPr>
            <w:tcW w:w="1080" w:type="dxa"/>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8"/>
                <w:szCs w:val="28"/>
                <w:highlight w:val="none"/>
                <w:u w:val="none"/>
              </w:rPr>
            </w:pPr>
          </w:p>
        </w:tc>
        <w:tc>
          <w:tcPr>
            <w:tcW w:w="743" w:type="dxa"/>
            <w:gridSpan w:val="2"/>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财政供养人员情况</w:t>
            </w:r>
          </w:p>
        </w:tc>
        <w:tc>
          <w:tcPr>
            <w:tcW w:w="24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编制数</w:t>
            </w:r>
          </w:p>
        </w:tc>
        <w:tc>
          <w:tcPr>
            <w:tcW w:w="18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w:t>
            </w:r>
            <w:r>
              <w:rPr>
                <w:rFonts w:hint="default" w:ascii="Times New Roman" w:hAnsi="Times New Roman" w:eastAsia="黑体" w:cs="Times New Roman"/>
                <w:i w:val="0"/>
                <w:iCs w:val="0"/>
                <w:color w:val="auto"/>
                <w:kern w:val="0"/>
                <w:sz w:val="20"/>
                <w:szCs w:val="20"/>
                <w:highlight w:val="none"/>
                <w:u w:val="none"/>
                <w:lang w:val="en-US" w:eastAsia="zh-CN" w:bidi="ar"/>
              </w:rPr>
              <w:t>22</w:t>
            </w:r>
            <w:r>
              <w:rPr>
                <w:rFonts w:hint="default" w:ascii="Times New Roman" w:hAnsi="Times New Roman" w:eastAsia="宋体" w:cs="Times New Roman"/>
                <w:i w:val="0"/>
                <w:iCs w:val="0"/>
                <w:color w:val="auto"/>
                <w:kern w:val="0"/>
                <w:sz w:val="20"/>
                <w:szCs w:val="20"/>
                <w:highlight w:val="none"/>
                <w:u w:val="none"/>
                <w:lang w:val="en-US" w:eastAsia="zh-CN" w:bidi="ar"/>
              </w:rPr>
              <w:t>年实际在职人数</w:t>
            </w: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控制率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44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0"/>
                <w:szCs w:val="20"/>
                <w:highlight w:val="none"/>
                <w:u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11</w:t>
            </w:r>
          </w:p>
        </w:tc>
        <w:tc>
          <w:tcPr>
            <w:tcW w:w="181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0"/>
                <w:szCs w:val="20"/>
                <w:highlight w:val="none"/>
                <w:u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10</w:t>
            </w: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b/>
                <w:bCs/>
                <w:i w:val="0"/>
                <w:iCs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经费控制情况</w:t>
            </w:r>
          </w:p>
        </w:tc>
        <w:tc>
          <w:tcPr>
            <w:tcW w:w="24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0"/>
                <w:szCs w:val="20"/>
                <w:highlight w:val="none"/>
                <w:u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2021年决算数</w:t>
            </w:r>
          </w:p>
        </w:tc>
        <w:tc>
          <w:tcPr>
            <w:tcW w:w="18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0"/>
                <w:szCs w:val="20"/>
                <w:highlight w:val="none"/>
                <w:u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2022年预算数</w:t>
            </w: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0"/>
                <w:szCs w:val="20"/>
                <w:highlight w:val="none"/>
                <w:u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2022年决算数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三公经费</w:t>
            </w:r>
          </w:p>
        </w:tc>
        <w:tc>
          <w:tcPr>
            <w:tcW w:w="244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63500</w:t>
            </w:r>
          </w:p>
        </w:tc>
        <w:tc>
          <w:tcPr>
            <w:tcW w:w="181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95000</w:t>
            </w: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78680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 xml:space="preserve">   1、公务用车购置和维护经费</w:t>
            </w:r>
          </w:p>
        </w:tc>
        <w:tc>
          <w:tcPr>
            <w:tcW w:w="244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40000</w:t>
            </w:r>
          </w:p>
        </w:tc>
        <w:tc>
          <w:tcPr>
            <w:tcW w:w="181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70000</w:t>
            </w: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70000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 xml:space="preserve">       其中：公车购置</w:t>
            </w:r>
          </w:p>
        </w:tc>
        <w:tc>
          <w:tcPr>
            <w:tcW w:w="244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181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 xml:space="preserve">             公车运行维护</w:t>
            </w:r>
          </w:p>
        </w:tc>
        <w:tc>
          <w:tcPr>
            <w:tcW w:w="244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40000</w:t>
            </w:r>
          </w:p>
        </w:tc>
        <w:tc>
          <w:tcPr>
            <w:tcW w:w="181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70000</w:t>
            </w: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70000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 xml:space="preserve">   2、出国经费</w:t>
            </w:r>
          </w:p>
        </w:tc>
        <w:tc>
          <w:tcPr>
            <w:tcW w:w="244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181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 xml:space="preserve">   3、公务接待</w:t>
            </w:r>
          </w:p>
        </w:tc>
        <w:tc>
          <w:tcPr>
            <w:tcW w:w="244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23500</w:t>
            </w:r>
          </w:p>
        </w:tc>
        <w:tc>
          <w:tcPr>
            <w:tcW w:w="181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25000</w:t>
            </w: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8680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项目支出：</w:t>
            </w:r>
          </w:p>
        </w:tc>
        <w:tc>
          <w:tcPr>
            <w:tcW w:w="244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181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 xml:space="preserve">    1、业务工作项目</w:t>
            </w:r>
          </w:p>
        </w:tc>
        <w:tc>
          <w:tcPr>
            <w:tcW w:w="244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23400501.08</w:t>
            </w:r>
          </w:p>
        </w:tc>
        <w:tc>
          <w:tcPr>
            <w:tcW w:w="181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410000</w:t>
            </w: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15652199.28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 xml:space="preserve">    2、运行维护项目</w:t>
            </w:r>
          </w:p>
        </w:tc>
        <w:tc>
          <w:tcPr>
            <w:tcW w:w="244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181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244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181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公用经费</w:t>
            </w:r>
          </w:p>
        </w:tc>
        <w:tc>
          <w:tcPr>
            <w:tcW w:w="244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293391.03</w:t>
            </w:r>
          </w:p>
        </w:tc>
        <w:tc>
          <w:tcPr>
            <w:tcW w:w="181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277900</w:t>
            </w: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296603.16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 xml:space="preserve">    其中：办公经费</w:t>
            </w:r>
          </w:p>
        </w:tc>
        <w:tc>
          <w:tcPr>
            <w:tcW w:w="244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15000</w:t>
            </w:r>
          </w:p>
        </w:tc>
        <w:tc>
          <w:tcPr>
            <w:tcW w:w="181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20000</w:t>
            </w: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 xml:space="preserve">    水费、电费、差旅费</w:t>
            </w:r>
          </w:p>
        </w:tc>
        <w:tc>
          <w:tcPr>
            <w:tcW w:w="244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4800</w:t>
            </w:r>
          </w:p>
        </w:tc>
        <w:tc>
          <w:tcPr>
            <w:tcW w:w="181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5100</w:t>
            </w: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 xml:space="preserve">      会议费、培训费</w:t>
            </w:r>
          </w:p>
        </w:tc>
        <w:tc>
          <w:tcPr>
            <w:tcW w:w="244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10000</w:t>
            </w:r>
          </w:p>
        </w:tc>
        <w:tc>
          <w:tcPr>
            <w:tcW w:w="181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10000</w:t>
            </w: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9998.92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政府采购金额</w:t>
            </w:r>
          </w:p>
        </w:tc>
        <w:tc>
          <w:tcPr>
            <w:tcW w:w="24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8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部门整体支出预算调整</w:t>
            </w:r>
          </w:p>
        </w:tc>
        <w:tc>
          <w:tcPr>
            <w:tcW w:w="24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181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楼堂馆所控制情况</w:t>
            </w:r>
          </w:p>
        </w:tc>
        <w:tc>
          <w:tcPr>
            <w:tcW w:w="17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0"/>
                <w:szCs w:val="20"/>
                <w:highlight w:val="none"/>
                <w:u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批复规模</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0"/>
                <w:szCs w:val="20"/>
                <w:highlight w:val="none"/>
                <w:u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实际</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0"/>
                <w:szCs w:val="20"/>
                <w:highlight w:val="none"/>
                <w:u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规模控制率</w:t>
            </w:r>
          </w:p>
        </w:tc>
        <w:tc>
          <w:tcPr>
            <w:tcW w:w="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0"/>
                <w:szCs w:val="20"/>
                <w:highlight w:val="none"/>
                <w:u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预算投资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0"/>
                <w:szCs w:val="20"/>
                <w:highlight w:val="none"/>
                <w:u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实际</w:t>
            </w:r>
          </w:p>
        </w:tc>
        <w:tc>
          <w:tcPr>
            <w:tcW w:w="7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0"/>
                <w:szCs w:val="20"/>
                <w:highlight w:val="none"/>
                <w:u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投资概算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49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（2022年完工项目）</w:t>
            </w:r>
          </w:p>
        </w:tc>
        <w:tc>
          <w:tcPr>
            <w:tcW w:w="17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0"/>
                <w:szCs w:val="20"/>
                <w:highlight w:val="none"/>
                <w:u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0"/>
                <w:szCs w:val="20"/>
                <w:highlight w:val="none"/>
                <w:u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规模</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b/>
                <w:bCs/>
                <w:i w:val="0"/>
                <w:iCs w:val="0"/>
                <w:color w:val="auto"/>
                <w:sz w:val="20"/>
                <w:szCs w:val="20"/>
                <w:highlight w:val="none"/>
                <w:u w:val="none"/>
              </w:rPr>
            </w:pPr>
          </w:p>
        </w:tc>
        <w:tc>
          <w:tcPr>
            <w:tcW w:w="9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0"/>
                <w:szCs w:val="20"/>
                <w:highlight w:val="none"/>
                <w:u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（万元）</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0"/>
                <w:szCs w:val="20"/>
                <w:highlight w:val="none"/>
                <w:u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投资</w:t>
            </w:r>
          </w:p>
        </w:tc>
        <w:tc>
          <w:tcPr>
            <w:tcW w:w="7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0"/>
                <w:szCs w:val="20"/>
                <w:highlight w:val="none"/>
                <w:u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控制率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90"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2"/>
                <w:szCs w:val="22"/>
                <w:highlight w:val="none"/>
                <w:u w:val="none"/>
              </w:rPr>
            </w:pPr>
          </w:p>
        </w:tc>
        <w:tc>
          <w:tcPr>
            <w:tcW w:w="171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2"/>
                <w:szCs w:val="22"/>
                <w:highlight w:val="none"/>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0"/>
                <w:szCs w:val="20"/>
                <w:highlight w:val="none"/>
                <w:u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b/>
                <w:bCs/>
                <w:i w:val="0"/>
                <w:iCs w:val="0"/>
                <w:color w:val="auto"/>
                <w:sz w:val="20"/>
                <w:szCs w:val="20"/>
                <w:highlight w:val="none"/>
                <w:u w:val="none"/>
              </w:rPr>
            </w:pPr>
          </w:p>
        </w:tc>
        <w:tc>
          <w:tcPr>
            <w:tcW w:w="9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2"/>
                <w:szCs w:val="22"/>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b/>
                <w:bCs/>
                <w:i w:val="0"/>
                <w:iCs w:val="0"/>
                <w:color w:val="auto"/>
                <w:sz w:val="20"/>
                <w:szCs w:val="20"/>
                <w:highlight w:val="none"/>
                <w:u w:val="none"/>
              </w:rPr>
            </w:pPr>
            <w:r>
              <w:rPr>
                <w:rFonts w:hint="default" w:ascii="Times New Roman" w:hAnsi="Times New Roman" w:eastAsia="宋体" w:cs="Times New Roman"/>
                <w:b/>
                <w:bCs/>
                <w:i w:val="0"/>
                <w:iCs w:val="0"/>
                <w:color w:val="auto"/>
                <w:kern w:val="0"/>
                <w:sz w:val="20"/>
                <w:szCs w:val="20"/>
                <w:highlight w:val="none"/>
                <w:u w:val="none"/>
                <w:lang w:val="en-US" w:eastAsia="zh-CN" w:bidi="ar"/>
              </w:rPr>
              <w:t>（万元）</w:t>
            </w:r>
          </w:p>
        </w:tc>
        <w:tc>
          <w:tcPr>
            <w:tcW w:w="7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2" w:type="dxa"/>
          <w:trHeight w:val="379" w:hRule="atLeast"/>
        </w:trPr>
        <w:tc>
          <w:tcPr>
            <w:tcW w:w="23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厉行节约保障措施</w:t>
            </w:r>
          </w:p>
        </w:tc>
        <w:tc>
          <w:tcPr>
            <w:tcW w:w="608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1410" w:type="dxa"/>
            <w:gridSpan w:val="3"/>
            <w:tcBorders>
              <w:top w:val="nil"/>
              <w:left w:val="nil"/>
              <w:bottom w:val="nil"/>
              <w:right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黑体" w:cs="Times New Roman"/>
                <w:i w:val="0"/>
                <w:iCs w:val="0"/>
                <w:color w:val="auto"/>
                <w:sz w:val="30"/>
                <w:szCs w:val="30"/>
                <w:highlight w:val="none"/>
                <w:u w:val="none"/>
              </w:rPr>
            </w:pPr>
            <w:r>
              <w:rPr>
                <w:rFonts w:hint="default" w:ascii="Times New Roman" w:hAnsi="Times New Roman" w:eastAsia="黑体" w:cs="Times New Roman"/>
                <w:i w:val="0"/>
                <w:iCs w:val="0"/>
                <w:color w:val="auto"/>
                <w:kern w:val="0"/>
                <w:sz w:val="30"/>
                <w:szCs w:val="30"/>
                <w:highlight w:val="none"/>
                <w:u w:val="none"/>
                <w:lang w:val="en-US" w:eastAsia="zh-CN" w:bidi="ar"/>
              </w:rPr>
              <w:t>附件2-2</w:t>
            </w:r>
            <w:r>
              <w:rPr>
                <w:rStyle w:val="15"/>
                <w:rFonts w:hint="default" w:ascii="Times New Roman" w:hAnsi="Times New Roman" w:cs="Times New Roman"/>
                <w:color w:val="auto"/>
                <w:sz w:val="30"/>
                <w:szCs w:val="30"/>
                <w:highlight w:val="none"/>
                <w:lang w:val="en-US" w:eastAsia="zh-CN" w:bidi="ar"/>
              </w:rPr>
              <w:t xml:space="preserve"> </w:t>
            </w:r>
          </w:p>
        </w:tc>
        <w:tc>
          <w:tcPr>
            <w:tcW w:w="471" w:type="dxa"/>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30"/>
                <w:szCs w:val="30"/>
                <w:highlight w:val="none"/>
                <w:u w:val="none"/>
              </w:rPr>
            </w:pPr>
          </w:p>
        </w:tc>
        <w:tc>
          <w:tcPr>
            <w:tcW w:w="795" w:type="dxa"/>
            <w:gridSpan w:val="2"/>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2"/>
                <w:szCs w:val="22"/>
                <w:highlight w:val="none"/>
                <w:u w:val="none"/>
              </w:rPr>
            </w:pPr>
          </w:p>
        </w:tc>
        <w:tc>
          <w:tcPr>
            <w:tcW w:w="516" w:type="dxa"/>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2"/>
                <w:szCs w:val="22"/>
                <w:highlight w:val="none"/>
                <w:u w:val="none"/>
              </w:rPr>
            </w:pPr>
          </w:p>
        </w:tc>
        <w:tc>
          <w:tcPr>
            <w:tcW w:w="2745" w:type="dxa"/>
            <w:gridSpan w:val="4"/>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2"/>
                <w:szCs w:val="22"/>
                <w:highlight w:val="none"/>
                <w:u w:val="none"/>
              </w:rPr>
            </w:pPr>
          </w:p>
        </w:tc>
        <w:tc>
          <w:tcPr>
            <w:tcW w:w="2064" w:type="dxa"/>
            <w:gridSpan w:val="3"/>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2"/>
                <w:szCs w:val="22"/>
                <w:highlight w:val="none"/>
                <w:u w:val="none"/>
              </w:rPr>
            </w:pPr>
          </w:p>
        </w:tc>
        <w:tc>
          <w:tcPr>
            <w:tcW w:w="660" w:type="dxa"/>
            <w:gridSpan w:val="2"/>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8661" w:type="dxa"/>
            <w:gridSpan w:val="16"/>
            <w:tcBorders>
              <w:top w:val="nil"/>
              <w:left w:val="nil"/>
              <w:bottom w:val="nil"/>
              <w:right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方正小标宋简体" w:cs="Times New Roman"/>
                <w:i w:val="0"/>
                <w:iCs w:val="0"/>
                <w:color w:val="auto"/>
                <w:sz w:val="40"/>
                <w:szCs w:val="40"/>
                <w:highlight w:val="none"/>
                <w:u w:val="none"/>
              </w:rPr>
            </w:pPr>
            <w:r>
              <w:rPr>
                <w:rFonts w:hint="default" w:ascii="Times New Roman" w:hAnsi="Times New Roman" w:eastAsia="方正小标宋简体" w:cs="Times New Roman"/>
                <w:i w:val="0"/>
                <w:iCs w:val="0"/>
                <w:color w:val="auto"/>
                <w:kern w:val="0"/>
                <w:sz w:val="36"/>
                <w:szCs w:val="36"/>
                <w:highlight w:val="none"/>
                <w:u w:val="none"/>
                <w:lang w:val="en-US" w:eastAsia="zh-CN" w:bidi="ar"/>
              </w:rPr>
              <w:t>部门整体支出绩效自评共性指标表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937" w:type="dxa"/>
            <w:gridSpan w:val="11"/>
            <w:tcBorders>
              <w:top w:val="nil"/>
              <w:left w:val="nil"/>
              <w:bottom w:val="nil"/>
              <w:right w:val="nil"/>
            </w:tcBorders>
            <w:shd w:val="clear" w:color="auto" w:fill="auto"/>
            <w:noWrap/>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楷体_GB2312" w:cs="Times New Roman"/>
                <w:i w:val="0"/>
                <w:iCs w:val="0"/>
                <w:color w:val="auto"/>
                <w:sz w:val="28"/>
                <w:szCs w:val="28"/>
                <w:highlight w:val="none"/>
                <w:u w:val="none"/>
              </w:rPr>
            </w:pPr>
            <w:r>
              <w:rPr>
                <w:rFonts w:hint="default" w:ascii="Times New Roman" w:hAnsi="Times New Roman" w:eastAsia="楷体_GB2312" w:cs="Times New Roman"/>
                <w:i w:val="0"/>
                <w:iCs w:val="0"/>
                <w:color w:val="auto"/>
                <w:kern w:val="0"/>
                <w:sz w:val="28"/>
                <w:szCs w:val="28"/>
                <w:highlight w:val="none"/>
                <w:u w:val="none"/>
                <w:lang w:val="en-US" w:eastAsia="zh-CN" w:bidi="ar"/>
              </w:rPr>
              <w:t>填报单位：宁乡市金融事务中心</w:t>
            </w:r>
          </w:p>
        </w:tc>
        <w:tc>
          <w:tcPr>
            <w:tcW w:w="2064" w:type="dxa"/>
            <w:gridSpan w:val="3"/>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8"/>
                <w:szCs w:val="28"/>
                <w:highlight w:val="none"/>
                <w:u w:val="none"/>
              </w:rPr>
            </w:pPr>
          </w:p>
        </w:tc>
        <w:tc>
          <w:tcPr>
            <w:tcW w:w="660" w:type="dxa"/>
            <w:gridSpan w:val="2"/>
            <w:tcBorders>
              <w:top w:val="nil"/>
              <w:left w:val="nil"/>
              <w:bottom w:val="nil"/>
              <w:right w:val="nil"/>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一级指标</w:t>
            </w:r>
          </w:p>
        </w:tc>
        <w:tc>
          <w:tcPr>
            <w:tcW w:w="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分值</w:t>
            </w:r>
          </w:p>
        </w:tc>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二级指标</w:t>
            </w:r>
          </w:p>
        </w:tc>
        <w:tc>
          <w:tcPr>
            <w:tcW w:w="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分值</w:t>
            </w:r>
          </w:p>
        </w:tc>
        <w:tc>
          <w:tcPr>
            <w:tcW w:w="7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三级</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指标</w:t>
            </w:r>
          </w:p>
        </w:tc>
        <w:tc>
          <w:tcPr>
            <w:tcW w:w="5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分值</w:t>
            </w:r>
          </w:p>
        </w:tc>
        <w:tc>
          <w:tcPr>
            <w:tcW w:w="274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评价标准</w:t>
            </w:r>
          </w:p>
        </w:tc>
        <w:tc>
          <w:tcPr>
            <w:tcW w:w="206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指标说明</w:t>
            </w:r>
          </w:p>
        </w:tc>
        <w:tc>
          <w:tcPr>
            <w:tcW w:w="6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投入</w:t>
            </w:r>
          </w:p>
        </w:tc>
        <w:tc>
          <w:tcPr>
            <w:tcW w:w="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18</w:t>
            </w:r>
          </w:p>
        </w:tc>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目标设定</w:t>
            </w:r>
          </w:p>
        </w:tc>
        <w:tc>
          <w:tcPr>
            <w:tcW w:w="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w:t>
            </w:r>
          </w:p>
        </w:tc>
        <w:tc>
          <w:tcPr>
            <w:tcW w:w="7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绩效</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目标</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合理性</w:t>
            </w:r>
          </w:p>
        </w:tc>
        <w:tc>
          <w:tcPr>
            <w:tcW w:w="516"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w:t>
            </w:r>
          </w:p>
        </w:tc>
        <w:tc>
          <w:tcPr>
            <w:tcW w:w="274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①有目标，计</w:t>
            </w:r>
            <w:r>
              <w:rPr>
                <w:rStyle w:val="16"/>
                <w:rFonts w:hint="default" w:ascii="Times New Roman" w:hAnsi="Times New Roman" w:eastAsia="宋体" w:cs="Times New Roman"/>
                <w:color w:val="auto"/>
                <w:highlight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②目标明确，细化量化良好，个性指标中量化指标超过</w:t>
            </w:r>
            <w:r>
              <w:rPr>
                <w:rStyle w:val="16"/>
                <w:rFonts w:hint="default" w:ascii="Times New Roman" w:hAnsi="Times New Roman" w:eastAsia="宋体" w:cs="Times New Roman"/>
                <w:color w:val="auto"/>
                <w:highlight w:val="none"/>
                <w:lang w:val="en-US" w:eastAsia="zh-CN" w:bidi="ar"/>
              </w:rPr>
              <w:t>3</w:t>
            </w:r>
            <w:r>
              <w:rPr>
                <w:rFonts w:hint="default" w:ascii="Times New Roman" w:hAnsi="Times New Roman" w:eastAsia="宋体" w:cs="Times New Roman"/>
                <w:i w:val="0"/>
                <w:iCs w:val="0"/>
                <w:color w:val="auto"/>
                <w:kern w:val="0"/>
                <w:sz w:val="20"/>
                <w:szCs w:val="20"/>
                <w:highlight w:val="none"/>
                <w:u w:val="none"/>
                <w:lang w:val="en-US" w:eastAsia="zh-CN" w:bidi="ar"/>
              </w:rPr>
              <w:t>个，计</w:t>
            </w:r>
            <w:r>
              <w:rPr>
                <w:rStyle w:val="16"/>
                <w:rFonts w:hint="default" w:ascii="Times New Roman" w:hAnsi="Times New Roman" w:eastAsia="宋体" w:cs="Times New Roman"/>
                <w:color w:val="auto"/>
                <w:highlight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分，量化指标为</w:t>
            </w:r>
            <w:r>
              <w:rPr>
                <w:rStyle w:val="16"/>
                <w:rFonts w:hint="default" w:ascii="Times New Roman" w:hAnsi="Times New Roman" w:eastAsia="宋体" w:cs="Times New Roman"/>
                <w:color w:val="auto"/>
                <w:highlight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个，计</w:t>
            </w:r>
            <w:r>
              <w:rPr>
                <w:rStyle w:val="16"/>
                <w:rFonts w:hint="default" w:ascii="Times New Roman" w:hAnsi="Times New Roman" w:eastAsia="宋体" w:cs="Times New Roman"/>
                <w:color w:val="auto"/>
                <w:highlight w:val="none"/>
                <w:lang w:val="en-US" w:eastAsia="zh-CN" w:bidi="ar"/>
              </w:rPr>
              <w:t>0.5</w:t>
            </w:r>
            <w:r>
              <w:rPr>
                <w:rFonts w:hint="default" w:ascii="Times New Roman" w:hAnsi="Times New Roman" w:eastAsia="宋体" w:cs="Times New Roman"/>
                <w:i w:val="0"/>
                <w:iCs w:val="0"/>
                <w:color w:val="auto"/>
                <w:kern w:val="0"/>
                <w:sz w:val="20"/>
                <w:szCs w:val="20"/>
                <w:highlight w:val="none"/>
                <w:u w:val="none"/>
                <w:lang w:val="en-US" w:eastAsia="zh-CN" w:bidi="ar"/>
              </w:rPr>
              <w:t>分，</w:t>
            </w:r>
            <w:r>
              <w:rPr>
                <w:rStyle w:val="16"/>
                <w:rFonts w:hint="default" w:ascii="Times New Roman" w:hAnsi="Times New Roman" w:eastAsia="宋体" w:cs="Times New Roman"/>
                <w:color w:val="auto"/>
                <w:highlight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个以下不计分；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③与年度任务数或计划数相对应，计1分，未与年度任务数或计划数相对应，计0分；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④目标与资金匹配良好，逻辑关系明确，计2分，存在明显错误和资金匹配性较差的计0分。</w:t>
            </w:r>
          </w:p>
        </w:tc>
        <w:tc>
          <w:tcPr>
            <w:tcW w:w="2064" w:type="dxa"/>
            <w:gridSpan w:val="3"/>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依据绩效目标设定的绩效指标是否清晰、细化、可衡量等，用以反映和考核项目绩效目标的明细化情况。</w:t>
            </w:r>
          </w:p>
        </w:tc>
        <w:tc>
          <w:tcPr>
            <w:tcW w:w="6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59"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预算配置</w:t>
            </w:r>
          </w:p>
        </w:tc>
        <w:tc>
          <w:tcPr>
            <w:tcW w:w="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13</w:t>
            </w:r>
          </w:p>
        </w:tc>
        <w:tc>
          <w:tcPr>
            <w:tcW w:w="795" w:type="dxa"/>
            <w:gridSpan w:val="2"/>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在职</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人员</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控制率</w:t>
            </w:r>
          </w:p>
        </w:tc>
        <w:tc>
          <w:tcPr>
            <w:tcW w:w="5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w:t>
            </w:r>
          </w:p>
        </w:tc>
        <w:tc>
          <w:tcPr>
            <w:tcW w:w="2745" w:type="dxa"/>
            <w:gridSpan w:val="4"/>
            <w:vMerge w:val="restart"/>
            <w:tcBorders>
              <w:top w:val="nil"/>
              <w:left w:val="single" w:color="000000" w:sz="4" w:space="0"/>
              <w:bottom w:val="single" w:color="000000" w:sz="4" w:space="0"/>
              <w:right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Style w:val="16"/>
                <w:rFonts w:hint="default" w:ascii="Times New Roman" w:hAnsi="Times New Roman" w:eastAsia="宋体" w:cs="Times New Roman"/>
                <w:color w:val="auto"/>
                <w:highlight w:val="none"/>
                <w:lang w:val="en-US" w:eastAsia="zh-CN" w:bidi="ar"/>
              </w:rPr>
              <w:t>以100%</w:t>
            </w:r>
            <w:r>
              <w:rPr>
                <w:rFonts w:hint="default" w:ascii="Times New Roman" w:hAnsi="Times New Roman" w:eastAsia="宋体" w:cs="Times New Roman"/>
                <w:i w:val="0"/>
                <w:iCs w:val="0"/>
                <w:color w:val="auto"/>
                <w:kern w:val="0"/>
                <w:sz w:val="20"/>
                <w:szCs w:val="20"/>
                <w:highlight w:val="none"/>
                <w:u w:val="none"/>
                <w:lang w:val="en-US" w:eastAsia="zh-CN" w:bidi="ar"/>
              </w:rPr>
              <w:t>为标准。在职人员控制率</w:t>
            </w:r>
            <w:r>
              <w:rPr>
                <w:rStyle w:val="16"/>
                <w:rFonts w:hint="default" w:ascii="Times New Roman" w:hAnsi="Times New Roman" w:eastAsia="宋体" w:cs="Times New Roman"/>
                <w:color w:val="auto"/>
                <w:highlight w:val="none"/>
                <w:lang w:val="en-US" w:eastAsia="zh-CN" w:bidi="ar"/>
              </w:rPr>
              <w:t>≦100%</w:t>
            </w:r>
            <w:r>
              <w:rPr>
                <w:rFonts w:hint="default" w:ascii="Times New Roman" w:hAnsi="Times New Roman" w:eastAsia="宋体" w:cs="Times New Roman"/>
                <w:i w:val="0"/>
                <w:iCs w:val="0"/>
                <w:color w:val="auto"/>
                <w:kern w:val="0"/>
                <w:sz w:val="20"/>
                <w:szCs w:val="20"/>
                <w:highlight w:val="none"/>
                <w:u w:val="none"/>
                <w:lang w:val="en-US" w:eastAsia="zh-CN" w:bidi="ar"/>
              </w:rPr>
              <w:t>，计3</w:t>
            </w:r>
            <w:r>
              <w:rPr>
                <w:rStyle w:val="16"/>
                <w:rFonts w:hint="default" w:ascii="Times New Roman" w:hAnsi="Times New Roman" w:eastAsia="宋体" w:cs="Times New Roman"/>
                <w:color w:val="auto"/>
                <w:highlight w:val="none"/>
                <w:lang w:val="en-US" w:eastAsia="zh-CN" w:bidi="ar"/>
              </w:rPr>
              <w:t>分；每超过一个百分点扣0.5</w:t>
            </w:r>
            <w:r>
              <w:rPr>
                <w:rFonts w:hint="default" w:ascii="Times New Roman" w:hAnsi="Times New Roman" w:eastAsia="宋体" w:cs="Times New Roman"/>
                <w:i w:val="0"/>
                <w:iCs w:val="0"/>
                <w:color w:val="auto"/>
                <w:kern w:val="0"/>
                <w:sz w:val="20"/>
                <w:szCs w:val="20"/>
                <w:highlight w:val="none"/>
                <w:u w:val="none"/>
                <w:lang w:val="en-US" w:eastAsia="zh-CN" w:bidi="ar"/>
              </w:rPr>
              <w:t>分，扣完为止。</w:t>
            </w:r>
          </w:p>
        </w:tc>
        <w:tc>
          <w:tcPr>
            <w:tcW w:w="206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在职人员控制率</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（在职人员数</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编制数）</w:t>
            </w:r>
            <w:r>
              <w:rPr>
                <w:rStyle w:val="16"/>
                <w:rFonts w:hint="default" w:ascii="Times New Roman" w:hAnsi="Times New Roman" w:eastAsia="宋体" w:cs="Times New Roman"/>
                <w:color w:val="auto"/>
                <w:highlight w:val="none"/>
                <w:lang w:val="en-US" w:eastAsia="zh-CN" w:bidi="ar"/>
              </w:rPr>
              <w:t>×100%</w:t>
            </w:r>
            <w:r>
              <w:rPr>
                <w:rFonts w:hint="default" w:ascii="Times New Roman" w:hAnsi="Times New Roman" w:eastAsia="宋体" w:cs="Times New Roman"/>
                <w:i w:val="0"/>
                <w:iCs w:val="0"/>
                <w:color w:val="auto"/>
                <w:kern w:val="0"/>
                <w:sz w:val="20"/>
                <w:szCs w:val="20"/>
                <w:highlight w:val="none"/>
                <w:u w:val="none"/>
                <w:lang w:val="en-US" w:eastAsia="zh-CN" w:bidi="ar"/>
              </w:rPr>
              <w:t>，在职人员数：单位实际在职人数，以财政部门确定的部门决算编制口径为准。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编制数：机构编制部门核定批复的单位的人员编制数。</w:t>
            </w:r>
          </w:p>
        </w:tc>
        <w:tc>
          <w:tcPr>
            <w:tcW w:w="660" w:type="dxa"/>
            <w:gridSpan w:val="2"/>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2"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nil"/>
              <w:left w:val="single" w:color="000000" w:sz="4" w:space="0"/>
              <w:bottom w:val="single" w:color="000000" w:sz="4" w:space="0"/>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2"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“三公</w:t>
            </w:r>
            <w:r>
              <w:rPr>
                <w:rStyle w:val="16"/>
                <w:rFonts w:hint="default" w:ascii="Times New Roman" w:hAnsi="Times New Roman" w:eastAsia="宋体" w:cs="Times New Roman"/>
                <w:color w:val="auto"/>
                <w:highlight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经费</w:t>
            </w:r>
            <w:r>
              <w:rPr>
                <w:rStyle w:val="16"/>
                <w:rFonts w:hint="default" w:ascii="Times New Roman" w:hAnsi="Times New Roman" w:eastAsia="宋体" w:cs="Times New Roman"/>
                <w:color w:val="auto"/>
                <w:highlight w:val="none"/>
                <w:lang w:val="en-US" w:eastAsia="zh-CN" w:bidi="ar"/>
              </w:rPr>
              <w:t>”</w:t>
            </w:r>
            <w:r>
              <w:rPr>
                <w:rStyle w:val="16"/>
                <w:rFonts w:hint="default" w:ascii="Times New Roman" w:hAnsi="Times New Roman" w:eastAsia="宋体" w:cs="Times New Roman"/>
                <w:color w:val="auto"/>
                <w:highlight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变动率</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w:t>
            </w:r>
          </w:p>
        </w:tc>
        <w:tc>
          <w:tcPr>
            <w:tcW w:w="27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三公经费</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变动率</w:t>
            </w:r>
            <w:r>
              <w:rPr>
                <w:rStyle w:val="16"/>
                <w:rFonts w:hint="default" w:ascii="Times New Roman" w:hAnsi="Times New Roman" w:eastAsia="宋体" w:cs="Times New Roman"/>
                <w:color w:val="auto"/>
                <w:highlight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w:t>
            </w:r>
            <w:r>
              <w:rPr>
                <w:rStyle w:val="16"/>
                <w:rFonts w:hint="default" w:ascii="Times New Roman" w:hAnsi="Times New Roman" w:eastAsia="宋体" w:cs="Times New Roman"/>
                <w:color w:val="auto"/>
                <w:highlight w:val="none"/>
                <w:lang w:val="en-US" w:eastAsia="zh-CN" w:bidi="ar"/>
              </w:rPr>
              <w:t>计</w:t>
            </w:r>
            <w:r>
              <w:rPr>
                <w:rFonts w:hint="default" w:ascii="Times New Roman" w:hAnsi="Times New Roman" w:eastAsia="宋体" w:cs="Times New Roman"/>
                <w:i w:val="0"/>
                <w:iCs w:val="0"/>
                <w:color w:val="auto"/>
                <w:kern w:val="0"/>
                <w:sz w:val="20"/>
                <w:szCs w:val="20"/>
                <w:highlight w:val="none"/>
                <w:u w:val="none"/>
                <w:lang w:val="en-US" w:eastAsia="zh-CN" w:bidi="ar"/>
              </w:rPr>
              <w:t>5</w:t>
            </w:r>
            <w:r>
              <w:rPr>
                <w:rStyle w:val="16"/>
                <w:rFonts w:hint="default" w:ascii="Times New Roman" w:hAnsi="Times New Roman" w:eastAsia="宋体" w:cs="Times New Roman"/>
                <w:color w:val="auto"/>
                <w:highlight w:val="none"/>
                <w:lang w:val="en-US" w:eastAsia="zh-CN" w:bidi="ar"/>
              </w:rPr>
              <w:t>分；“</w:t>
            </w:r>
            <w:r>
              <w:rPr>
                <w:rFonts w:hint="default" w:ascii="Times New Roman" w:hAnsi="Times New Roman" w:eastAsia="宋体" w:cs="Times New Roman"/>
                <w:i w:val="0"/>
                <w:iCs w:val="0"/>
                <w:color w:val="auto"/>
                <w:kern w:val="0"/>
                <w:sz w:val="20"/>
                <w:szCs w:val="20"/>
                <w:highlight w:val="none"/>
                <w:u w:val="none"/>
                <w:lang w:val="en-US" w:eastAsia="zh-CN" w:bidi="ar"/>
              </w:rPr>
              <w:t>三公经费</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w:t>
            </w:r>
            <w:r>
              <w:rPr>
                <w:rStyle w:val="16"/>
                <w:rFonts w:hint="default" w:ascii="Times New Roman" w:hAnsi="Times New Roman" w:eastAsia="宋体" w:cs="Times New Roman"/>
                <w:color w:val="auto"/>
                <w:highlight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，每超过一个百分点扣0.5</w:t>
            </w:r>
            <w:r>
              <w:rPr>
                <w:rStyle w:val="16"/>
                <w:rFonts w:hint="default" w:ascii="Times New Roman" w:hAnsi="Times New Roman" w:eastAsia="宋体" w:cs="Times New Roman"/>
                <w:color w:val="auto"/>
                <w:highlight w:val="none"/>
                <w:lang w:val="en-US" w:eastAsia="zh-CN" w:bidi="ar"/>
              </w:rPr>
              <w:t>分，扣完为止。</w:t>
            </w:r>
          </w:p>
        </w:tc>
        <w:tc>
          <w:tcPr>
            <w:tcW w:w="2064" w:type="dxa"/>
            <w:gridSpan w:val="3"/>
            <w:tcBorders>
              <w:top w:val="nil"/>
              <w:left w:val="single" w:color="000000" w:sz="4" w:space="0"/>
              <w:bottom w:val="nil"/>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在公经费</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变动率</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（本年度</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三公经费</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预算数</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上年度</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三公经费</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预算数）</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上年度</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三公经费</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预算数</w:t>
            </w:r>
            <w:r>
              <w:rPr>
                <w:rStyle w:val="16"/>
                <w:rFonts w:hint="default" w:ascii="Times New Roman" w:hAnsi="Times New Roman" w:eastAsia="宋体" w:cs="Times New Roman"/>
                <w:color w:val="auto"/>
                <w:highlight w:val="none"/>
                <w:lang w:val="en-US" w:eastAsia="zh-CN" w:bidi="ar"/>
              </w:rPr>
              <w:t>]×100%</w:t>
            </w:r>
          </w:p>
        </w:tc>
        <w:tc>
          <w:tcPr>
            <w:tcW w:w="6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重点</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支出</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安排率</w:t>
            </w:r>
          </w:p>
        </w:tc>
        <w:tc>
          <w:tcPr>
            <w:tcW w:w="5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w:t>
            </w:r>
          </w:p>
        </w:tc>
        <w:tc>
          <w:tcPr>
            <w:tcW w:w="2745" w:type="dxa"/>
            <w:gridSpan w:val="4"/>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重点支出安排率</w:t>
            </w:r>
            <w:r>
              <w:rPr>
                <w:rStyle w:val="16"/>
                <w:rFonts w:hint="default" w:ascii="Times New Roman" w:hAnsi="Times New Roman" w:eastAsia="宋体" w:cs="Times New Roman"/>
                <w:color w:val="auto"/>
                <w:highlight w:val="none"/>
                <w:lang w:val="en-US" w:eastAsia="zh-CN" w:bidi="ar"/>
              </w:rPr>
              <w:t>100%</w:t>
            </w:r>
            <w:r>
              <w:rPr>
                <w:rFonts w:hint="default" w:ascii="Times New Roman" w:hAnsi="Times New Roman" w:eastAsia="宋体" w:cs="Times New Roman"/>
                <w:i w:val="0"/>
                <w:iCs w:val="0"/>
                <w:color w:val="auto"/>
                <w:kern w:val="0"/>
                <w:sz w:val="20"/>
                <w:szCs w:val="20"/>
                <w:highlight w:val="none"/>
                <w:u w:val="none"/>
                <w:lang w:val="en-US" w:eastAsia="zh-CN" w:bidi="ar"/>
              </w:rPr>
              <w:t>，计</w:t>
            </w:r>
            <w:r>
              <w:rPr>
                <w:rStyle w:val="16"/>
                <w:rFonts w:hint="default" w:ascii="Times New Roman" w:hAnsi="Times New Roman" w:eastAsia="宋体" w:cs="Times New Roman"/>
                <w:color w:val="auto"/>
                <w:highlight w:val="none"/>
                <w:lang w:val="en-US" w:eastAsia="zh-CN" w:bidi="ar"/>
              </w:rPr>
              <w:t>5</w:t>
            </w:r>
            <w:r>
              <w:rPr>
                <w:rFonts w:hint="default" w:ascii="Times New Roman" w:hAnsi="Times New Roman" w:eastAsia="宋体" w:cs="Times New Roman"/>
                <w:i w:val="0"/>
                <w:iCs w:val="0"/>
                <w:color w:val="auto"/>
                <w:kern w:val="0"/>
                <w:sz w:val="20"/>
                <w:szCs w:val="20"/>
                <w:highlight w:val="none"/>
                <w:u w:val="none"/>
                <w:lang w:val="en-US" w:eastAsia="zh-CN" w:bidi="ar"/>
              </w:rPr>
              <w:t>分；每下降</w:t>
            </w:r>
            <w:r>
              <w:rPr>
                <w:rStyle w:val="16"/>
                <w:rFonts w:hint="default" w:ascii="Times New Roman" w:hAnsi="Times New Roman" w:eastAsia="宋体" w:cs="Times New Roman"/>
                <w:color w:val="auto"/>
                <w:highlight w:val="none"/>
                <w:lang w:val="en-US" w:eastAsia="zh-CN" w:bidi="ar"/>
              </w:rPr>
              <w:t>5%</w:t>
            </w:r>
            <w:r>
              <w:rPr>
                <w:rFonts w:hint="default" w:ascii="Times New Roman" w:hAnsi="Times New Roman" w:eastAsia="宋体" w:cs="Times New Roman"/>
                <w:i w:val="0"/>
                <w:iCs w:val="0"/>
                <w:color w:val="auto"/>
                <w:kern w:val="0"/>
                <w:sz w:val="20"/>
                <w:szCs w:val="20"/>
                <w:highlight w:val="none"/>
                <w:u w:val="none"/>
                <w:lang w:val="en-US" w:eastAsia="zh-CN" w:bidi="ar"/>
              </w:rPr>
              <w:t>，扣</w:t>
            </w:r>
            <w:r>
              <w:rPr>
                <w:rStyle w:val="16"/>
                <w:rFonts w:hint="default" w:ascii="Times New Roman" w:hAnsi="Times New Roman" w:eastAsia="宋体" w:cs="Times New Roman"/>
                <w:color w:val="auto"/>
                <w:highlight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分，扣完为止。</w:t>
            </w:r>
          </w:p>
        </w:tc>
        <w:tc>
          <w:tcPr>
            <w:tcW w:w="2064" w:type="dxa"/>
            <w:gridSpan w:val="3"/>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重点支出安排率</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（重点项目支出</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项目总支出）</w:t>
            </w:r>
            <w:r>
              <w:rPr>
                <w:rStyle w:val="16"/>
                <w:rFonts w:hint="default" w:ascii="Times New Roman" w:hAnsi="Times New Roman" w:eastAsia="宋体" w:cs="Times New Roman"/>
                <w:color w:val="auto"/>
                <w:highlight w:val="none"/>
                <w:lang w:val="en-US" w:eastAsia="zh-CN" w:bidi="ar"/>
              </w:rPr>
              <w:t>×100%</w:t>
            </w:r>
            <w:r>
              <w:rPr>
                <w:rStyle w:val="16"/>
                <w:rFonts w:hint="default" w:ascii="Times New Roman" w:hAnsi="Times New Roman" w:eastAsia="宋体" w:cs="Times New Roman"/>
                <w:color w:val="auto"/>
                <w:highlight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重点项目支出：根据单位的职能职责，结合当年的重点工作和计划安排情况，部门年度预算优先保障的重要项目支出。项目总支出：单位年度预算安排的项目支出总额。</w:t>
            </w:r>
          </w:p>
        </w:tc>
        <w:tc>
          <w:tcPr>
            <w:tcW w:w="660" w:type="dxa"/>
            <w:gridSpan w:val="2"/>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9" w:hRule="atLeast"/>
        </w:trPr>
        <w:tc>
          <w:tcPr>
            <w:tcW w:w="4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过</w:t>
            </w:r>
            <w:r>
              <w:rPr>
                <w:rStyle w:val="16"/>
                <w:rFonts w:hint="default" w:ascii="Times New Roman" w:hAnsi="Times New Roman" w:eastAsia="宋体" w:cs="Times New Roman"/>
                <w:color w:val="auto"/>
                <w:highlight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程</w:t>
            </w:r>
          </w:p>
        </w:tc>
        <w:tc>
          <w:tcPr>
            <w:tcW w:w="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56</w:t>
            </w:r>
          </w:p>
        </w:tc>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预算执行</w:t>
            </w:r>
          </w:p>
        </w:tc>
        <w:tc>
          <w:tcPr>
            <w:tcW w:w="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31</w:t>
            </w:r>
          </w:p>
        </w:tc>
        <w:tc>
          <w:tcPr>
            <w:tcW w:w="7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预算</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执行率</w:t>
            </w:r>
          </w:p>
        </w:tc>
        <w:tc>
          <w:tcPr>
            <w:tcW w:w="5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w:t>
            </w:r>
          </w:p>
        </w:tc>
        <w:tc>
          <w:tcPr>
            <w:tcW w:w="27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Style w:val="16"/>
                <w:rFonts w:hint="default" w:ascii="Times New Roman" w:hAnsi="Times New Roman" w:eastAsia="宋体" w:cs="Times New Roman"/>
                <w:color w:val="auto"/>
                <w:highlight w:val="none"/>
                <w:lang w:val="en-US" w:eastAsia="zh-CN" w:bidi="ar"/>
              </w:rPr>
              <w:t>①</w:t>
            </w:r>
            <w:r>
              <w:rPr>
                <w:rFonts w:hint="default" w:ascii="Times New Roman" w:hAnsi="Times New Roman" w:eastAsia="宋体" w:cs="Times New Roman"/>
                <w:i w:val="0"/>
                <w:iCs w:val="0"/>
                <w:color w:val="auto"/>
                <w:kern w:val="0"/>
                <w:sz w:val="20"/>
                <w:szCs w:val="20"/>
                <w:highlight w:val="none"/>
                <w:u w:val="none"/>
                <w:lang w:val="en-US" w:eastAsia="zh-CN" w:bidi="ar"/>
              </w:rPr>
              <w:t>预算完成率</w:t>
            </w:r>
            <w:r>
              <w:rPr>
                <w:rStyle w:val="16"/>
                <w:rFonts w:hint="default" w:ascii="Times New Roman" w:hAnsi="Times New Roman" w:eastAsia="宋体" w:cs="Times New Roman"/>
                <w:color w:val="auto"/>
                <w:highlight w:val="none"/>
                <w:lang w:val="en-US" w:eastAsia="zh-CN" w:bidi="ar"/>
              </w:rPr>
              <w:t>95%</w:t>
            </w:r>
            <w:r>
              <w:rPr>
                <w:rFonts w:hint="default" w:ascii="Times New Roman" w:hAnsi="Times New Roman" w:eastAsia="宋体" w:cs="Times New Roman"/>
                <w:i w:val="0"/>
                <w:iCs w:val="0"/>
                <w:color w:val="auto"/>
                <w:kern w:val="0"/>
                <w:sz w:val="20"/>
                <w:szCs w:val="20"/>
                <w:highlight w:val="none"/>
                <w:u w:val="none"/>
                <w:lang w:val="en-US" w:eastAsia="zh-CN" w:bidi="ar"/>
              </w:rPr>
              <w:t>以上计</w:t>
            </w:r>
            <w:r>
              <w:rPr>
                <w:rStyle w:val="16"/>
                <w:rFonts w:hint="default" w:ascii="Times New Roman" w:hAnsi="Times New Roman" w:eastAsia="宋体" w:cs="Times New Roman"/>
                <w:color w:val="auto"/>
                <w:highlight w:val="none"/>
                <w:lang w:val="en-US" w:eastAsia="zh-CN" w:bidi="ar"/>
              </w:rPr>
              <w:t>3</w:t>
            </w:r>
            <w:r>
              <w:rPr>
                <w:rFonts w:hint="default" w:ascii="Times New Roman" w:hAnsi="Times New Roman" w:eastAsia="宋体" w:cs="Times New Roman"/>
                <w:i w:val="0"/>
                <w:iCs w:val="0"/>
                <w:color w:val="auto"/>
                <w:kern w:val="0"/>
                <w:sz w:val="20"/>
                <w:szCs w:val="20"/>
                <w:highlight w:val="none"/>
                <w:u w:val="none"/>
                <w:lang w:val="en-US" w:eastAsia="zh-CN" w:bidi="ar"/>
              </w:rPr>
              <w:t>分，</w:t>
            </w:r>
            <w:r>
              <w:rPr>
                <w:rStyle w:val="16"/>
                <w:rFonts w:hint="default" w:ascii="Times New Roman" w:hAnsi="Times New Roman" w:eastAsia="宋体" w:cs="Times New Roman"/>
                <w:color w:val="auto"/>
                <w:highlight w:val="none"/>
                <w:lang w:val="en-US" w:eastAsia="zh-CN" w:bidi="ar"/>
              </w:rPr>
              <w:t>95-90%</w:t>
            </w:r>
            <w:r>
              <w:rPr>
                <w:rFonts w:hint="default" w:ascii="Times New Roman" w:hAnsi="Times New Roman" w:eastAsia="宋体" w:cs="Times New Roman"/>
                <w:i w:val="0"/>
                <w:iCs w:val="0"/>
                <w:color w:val="auto"/>
                <w:kern w:val="0"/>
                <w:sz w:val="20"/>
                <w:szCs w:val="20"/>
                <w:highlight w:val="none"/>
                <w:u w:val="none"/>
                <w:lang w:val="en-US" w:eastAsia="zh-CN" w:bidi="ar"/>
              </w:rPr>
              <w:t>（含），计</w:t>
            </w:r>
            <w:r>
              <w:rPr>
                <w:rStyle w:val="16"/>
                <w:rFonts w:hint="default" w:ascii="Times New Roman" w:hAnsi="Times New Roman" w:eastAsia="宋体" w:cs="Times New Roman"/>
                <w:color w:val="auto"/>
                <w:highlight w:val="none"/>
                <w:lang w:val="en-US" w:eastAsia="zh-CN" w:bidi="ar"/>
              </w:rPr>
              <w:t>1.5</w:t>
            </w:r>
            <w:r>
              <w:rPr>
                <w:rFonts w:hint="default" w:ascii="Times New Roman" w:hAnsi="Times New Roman" w:eastAsia="宋体" w:cs="Times New Roman"/>
                <w:i w:val="0"/>
                <w:iCs w:val="0"/>
                <w:color w:val="auto"/>
                <w:kern w:val="0"/>
                <w:sz w:val="20"/>
                <w:szCs w:val="20"/>
                <w:highlight w:val="none"/>
                <w:u w:val="none"/>
                <w:lang w:val="en-US" w:eastAsia="zh-CN" w:bidi="ar"/>
              </w:rPr>
              <w:t>分，</w:t>
            </w:r>
            <w:r>
              <w:rPr>
                <w:rStyle w:val="16"/>
                <w:rFonts w:hint="default" w:ascii="Times New Roman" w:hAnsi="Times New Roman" w:eastAsia="宋体" w:cs="Times New Roman"/>
                <w:color w:val="auto"/>
                <w:highlight w:val="none"/>
                <w:lang w:val="en-US" w:eastAsia="zh-CN" w:bidi="ar"/>
              </w:rPr>
              <w:t>90-80%</w:t>
            </w:r>
            <w:r>
              <w:rPr>
                <w:rFonts w:hint="default" w:ascii="Times New Roman" w:hAnsi="Times New Roman" w:eastAsia="宋体" w:cs="Times New Roman"/>
                <w:i w:val="0"/>
                <w:iCs w:val="0"/>
                <w:color w:val="auto"/>
                <w:kern w:val="0"/>
                <w:sz w:val="20"/>
                <w:szCs w:val="20"/>
                <w:highlight w:val="none"/>
                <w:u w:val="none"/>
                <w:lang w:val="en-US" w:eastAsia="zh-CN" w:bidi="ar"/>
              </w:rPr>
              <w:t>（含），计</w:t>
            </w:r>
            <w:r>
              <w:rPr>
                <w:rStyle w:val="16"/>
                <w:rFonts w:hint="default" w:ascii="Times New Roman" w:hAnsi="Times New Roman" w:eastAsia="宋体" w:cs="Times New Roman"/>
                <w:color w:val="auto"/>
                <w:highlight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分，小于</w:t>
            </w:r>
            <w:r>
              <w:rPr>
                <w:rStyle w:val="16"/>
                <w:rFonts w:hint="default" w:ascii="Times New Roman" w:hAnsi="Times New Roman" w:eastAsia="宋体" w:cs="Times New Roman"/>
                <w:color w:val="auto"/>
                <w:highlight w:val="none"/>
                <w:lang w:val="en-US" w:eastAsia="zh-CN" w:bidi="ar"/>
              </w:rPr>
              <w:t>80%</w:t>
            </w:r>
            <w:r>
              <w:rPr>
                <w:rFonts w:hint="default" w:ascii="Times New Roman" w:hAnsi="Times New Roman" w:eastAsia="宋体" w:cs="Times New Roman"/>
                <w:i w:val="0"/>
                <w:iCs w:val="0"/>
                <w:color w:val="auto"/>
                <w:kern w:val="0"/>
                <w:sz w:val="20"/>
                <w:szCs w:val="20"/>
                <w:highlight w:val="none"/>
                <w:u w:val="none"/>
                <w:lang w:val="en-US" w:eastAsia="zh-CN" w:bidi="ar"/>
              </w:rPr>
              <w:t>不得分；</w:t>
            </w:r>
          </w:p>
        </w:tc>
        <w:tc>
          <w:tcPr>
            <w:tcW w:w="206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①单位本年度预算完成数与预算数的比率，用以反映和考核单位预算完成程度；</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②单位实际支付进度与既定支付进度的比率，用以反映和考核部门预算执行的及时性和均衡性程度。</w:t>
            </w:r>
          </w:p>
        </w:tc>
        <w:tc>
          <w:tcPr>
            <w:tcW w:w="660" w:type="dxa"/>
            <w:gridSpan w:val="2"/>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2"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Style w:val="16"/>
                <w:rFonts w:hint="default" w:ascii="Times New Roman" w:hAnsi="Times New Roman" w:eastAsia="宋体" w:cs="Times New Roman"/>
                <w:color w:val="auto"/>
                <w:highlight w:val="none"/>
                <w:lang w:val="en-US" w:eastAsia="zh-CN" w:bidi="ar"/>
              </w:rPr>
              <w:t>②</w:t>
            </w:r>
            <w:r>
              <w:rPr>
                <w:rFonts w:hint="default" w:ascii="Times New Roman" w:hAnsi="Times New Roman" w:eastAsia="宋体" w:cs="Times New Roman"/>
                <w:i w:val="0"/>
                <w:iCs w:val="0"/>
                <w:color w:val="auto"/>
                <w:kern w:val="0"/>
                <w:sz w:val="20"/>
                <w:szCs w:val="20"/>
                <w:highlight w:val="none"/>
                <w:u w:val="none"/>
                <w:lang w:val="en-US" w:eastAsia="zh-CN" w:bidi="ar"/>
              </w:rPr>
              <w:t>支付进度率</w:t>
            </w:r>
            <w:r>
              <w:rPr>
                <w:rStyle w:val="16"/>
                <w:rFonts w:hint="default" w:ascii="Times New Roman" w:hAnsi="Times New Roman" w:eastAsia="宋体" w:cs="Times New Roman"/>
                <w:color w:val="auto"/>
                <w:highlight w:val="none"/>
                <w:lang w:val="en-US" w:eastAsia="zh-CN" w:bidi="ar"/>
              </w:rPr>
              <w:t>95%</w:t>
            </w:r>
            <w:r>
              <w:rPr>
                <w:rFonts w:hint="default" w:ascii="Times New Roman" w:hAnsi="Times New Roman" w:eastAsia="宋体" w:cs="Times New Roman"/>
                <w:i w:val="0"/>
                <w:iCs w:val="0"/>
                <w:color w:val="auto"/>
                <w:kern w:val="0"/>
                <w:sz w:val="20"/>
                <w:szCs w:val="20"/>
                <w:highlight w:val="none"/>
                <w:u w:val="none"/>
                <w:lang w:val="en-US" w:eastAsia="zh-CN" w:bidi="ar"/>
              </w:rPr>
              <w:t>以上计</w:t>
            </w:r>
            <w:r>
              <w:rPr>
                <w:rStyle w:val="16"/>
                <w:rFonts w:hint="default" w:ascii="Times New Roman" w:hAnsi="Times New Roman" w:eastAsia="宋体" w:cs="Times New Roman"/>
                <w:color w:val="auto"/>
                <w:highlight w:val="none"/>
                <w:lang w:val="en-US" w:eastAsia="zh-CN" w:bidi="ar"/>
              </w:rPr>
              <w:t>3</w:t>
            </w:r>
            <w:r>
              <w:rPr>
                <w:rFonts w:hint="default" w:ascii="Times New Roman" w:hAnsi="Times New Roman" w:eastAsia="宋体" w:cs="Times New Roman"/>
                <w:i w:val="0"/>
                <w:iCs w:val="0"/>
                <w:color w:val="auto"/>
                <w:kern w:val="0"/>
                <w:sz w:val="20"/>
                <w:szCs w:val="20"/>
                <w:highlight w:val="none"/>
                <w:u w:val="none"/>
                <w:lang w:val="en-US" w:eastAsia="zh-CN" w:bidi="ar"/>
              </w:rPr>
              <w:t>分，</w:t>
            </w:r>
            <w:r>
              <w:rPr>
                <w:rStyle w:val="16"/>
                <w:rFonts w:hint="default" w:ascii="Times New Roman" w:hAnsi="Times New Roman" w:eastAsia="宋体" w:cs="Times New Roman"/>
                <w:color w:val="auto"/>
                <w:highlight w:val="none"/>
                <w:lang w:val="en-US" w:eastAsia="zh-CN" w:bidi="ar"/>
              </w:rPr>
              <w:t>95-90%</w:t>
            </w:r>
            <w:r>
              <w:rPr>
                <w:rFonts w:hint="default" w:ascii="Times New Roman" w:hAnsi="Times New Roman" w:eastAsia="宋体" w:cs="Times New Roman"/>
                <w:i w:val="0"/>
                <w:iCs w:val="0"/>
                <w:color w:val="auto"/>
                <w:kern w:val="0"/>
                <w:sz w:val="20"/>
                <w:szCs w:val="20"/>
                <w:highlight w:val="none"/>
                <w:u w:val="none"/>
                <w:lang w:val="en-US" w:eastAsia="zh-CN" w:bidi="ar"/>
              </w:rPr>
              <w:t>（含），计</w:t>
            </w:r>
            <w:r>
              <w:rPr>
                <w:rStyle w:val="16"/>
                <w:rFonts w:hint="default" w:ascii="Times New Roman" w:hAnsi="Times New Roman" w:eastAsia="宋体" w:cs="Times New Roman"/>
                <w:color w:val="auto"/>
                <w:highlight w:val="none"/>
                <w:lang w:val="en-US" w:eastAsia="zh-CN" w:bidi="ar"/>
              </w:rPr>
              <w:t>1.5</w:t>
            </w:r>
            <w:r>
              <w:rPr>
                <w:rFonts w:hint="default" w:ascii="Times New Roman" w:hAnsi="Times New Roman" w:eastAsia="宋体" w:cs="Times New Roman"/>
                <w:i w:val="0"/>
                <w:iCs w:val="0"/>
                <w:color w:val="auto"/>
                <w:kern w:val="0"/>
                <w:sz w:val="20"/>
                <w:szCs w:val="20"/>
                <w:highlight w:val="none"/>
                <w:u w:val="none"/>
                <w:lang w:val="en-US" w:eastAsia="zh-CN" w:bidi="ar"/>
              </w:rPr>
              <w:t>分，</w:t>
            </w:r>
            <w:r>
              <w:rPr>
                <w:rStyle w:val="16"/>
                <w:rFonts w:hint="default" w:ascii="Times New Roman" w:hAnsi="Times New Roman" w:eastAsia="宋体" w:cs="Times New Roman"/>
                <w:color w:val="auto"/>
                <w:highlight w:val="none"/>
                <w:lang w:val="en-US" w:eastAsia="zh-CN" w:bidi="ar"/>
              </w:rPr>
              <w:t>90-80%</w:t>
            </w:r>
            <w:r>
              <w:rPr>
                <w:rFonts w:hint="default" w:ascii="Times New Roman" w:hAnsi="Times New Roman" w:eastAsia="宋体" w:cs="Times New Roman"/>
                <w:i w:val="0"/>
                <w:iCs w:val="0"/>
                <w:color w:val="auto"/>
                <w:kern w:val="0"/>
                <w:sz w:val="20"/>
                <w:szCs w:val="20"/>
                <w:highlight w:val="none"/>
                <w:u w:val="none"/>
                <w:lang w:val="en-US" w:eastAsia="zh-CN" w:bidi="ar"/>
              </w:rPr>
              <w:t>（含），计</w:t>
            </w:r>
            <w:r>
              <w:rPr>
                <w:rStyle w:val="16"/>
                <w:rFonts w:hint="default" w:ascii="Times New Roman" w:hAnsi="Times New Roman" w:eastAsia="宋体" w:cs="Times New Roman"/>
                <w:color w:val="auto"/>
                <w:highlight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分，小于</w:t>
            </w:r>
            <w:r>
              <w:rPr>
                <w:rStyle w:val="16"/>
                <w:rFonts w:hint="default" w:ascii="Times New Roman" w:hAnsi="Times New Roman" w:eastAsia="宋体" w:cs="Times New Roman"/>
                <w:color w:val="auto"/>
                <w:highlight w:val="none"/>
                <w:lang w:val="en-US" w:eastAsia="zh-CN" w:bidi="ar"/>
              </w:rPr>
              <w:t>80%</w:t>
            </w:r>
            <w:r>
              <w:rPr>
                <w:rFonts w:hint="default" w:ascii="Times New Roman" w:hAnsi="Times New Roman" w:eastAsia="宋体" w:cs="Times New Roman"/>
                <w:i w:val="0"/>
                <w:iCs w:val="0"/>
                <w:color w:val="auto"/>
                <w:kern w:val="0"/>
                <w:sz w:val="20"/>
                <w:szCs w:val="20"/>
                <w:highlight w:val="none"/>
                <w:u w:val="none"/>
                <w:lang w:val="en-US" w:eastAsia="zh-CN" w:bidi="ar"/>
              </w:rPr>
              <w:t>不得分。</w:t>
            </w: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过</w:t>
            </w:r>
            <w:r>
              <w:rPr>
                <w:rStyle w:val="16"/>
                <w:rFonts w:hint="default" w:ascii="Times New Roman" w:hAnsi="Times New Roman" w:eastAsia="宋体" w:cs="Times New Roman"/>
                <w:color w:val="auto"/>
                <w:highlight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程</w:t>
            </w:r>
          </w:p>
        </w:tc>
        <w:tc>
          <w:tcPr>
            <w:tcW w:w="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56</w:t>
            </w:r>
          </w:p>
        </w:tc>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预算执行</w:t>
            </w:r>
          </w:p>
        </w:tc>
        <w:tc>
          <w:tcPr>
            <w:tcW w:w="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31</w:t>
            </w:r>
          </w:p>
        </w:tc>
        <w:tc>
          <w:tcPr>
            <w:tcW w:w="7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预算</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调整率</w:t>
            </w:r>
          </w:p>
        </w:tc>
        <w:tc>
          <w:tcPr>
            <w:tcW w:w="5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w:t>
            </w:r>
          </w:p>
        </w:tc>
        <w:tc>
          <w:tcPr>
            <w:tcW w:w="274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Style w:val="16"/>
                <w:rFonts w:hint="default" w:ascii="Times New Roman" w:hAnsi="Times New Roman" w:eastAsia="宋体" w:cs="Times New Roman"/>
                <w:color w:val="auto"/>
                <w:highlight w:val="none"/>
                <w:lang w:val="en-US" w:eastAsia="zh-CN" w:bidi="ar"/>
              </w:rPr>
              <w:t>预算</w:t>
            </w:r>
            <w:r>
              <w:rPr>
                <w:rFonts w:hint="default" w:ascii="Times New Roman" w:hAnsi="Times New Roman" w:eastAsia="宋体" w:cs="Times New Roman"/>
                <w:i w:val="0"/>
                <w:iCs w:val="0"/>
                <w:color w:val="auto"/>
                <w:kern w:val="0"/>
                <w:sz w:val="20"/>
                <w:szCs w:val="20"/>
                <w:highlight w:val="none"/>
                <w:u w:val="none"/>
                <w:lang w:val="en-US" w:eastAsia="zh-CN" w:bidi="ar"/>
              </w:rPr>
              <w:t>调整率</w:t>
            </w:r>
            <w:r>
              <w:rPr>
                <w:rStyle w:val="16"/>
                <w:rFonts w:hint="default" w:ascii="Times New Roman" w:hAnsi="Times New Roman" w:eastAsia="宋体" w:cs="Times New Roman"/>
                <w:color w:val="auto"/>
                <w:highlight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，计</w:t>
            </w:r>
            <w:r>
              <w:rPr>
                <w:rStyle w:val="16"/>
                <w:rFonts w:hint="default" w:ascii="Times New Roman" w:hAnsi="Times New Roman" w:eastAsia="宋体" w:cs="Times New Roman"/>
                <w:color w:val="auto"/>
                <w:highlight w:val="none"/>
                <w:lang w:val="en-US" w:eastAsia="zh-CN" w:bidi="ar"/>
              </w:rPr>
              <w:t>5</w:t>
            </w:r>
            <w:r>
              <w:rPr>
                <w:rFonts w:hint="default" w:ascii="Times New Roman" w:hAnsi="Times New Roman" w:eastAsia="宋体" w:cs="Times New Roman"/>
                <w:i w:val="0"/>
                <w:iCs w:val="0"/>
                <w:color w:val="auto"/>
                <w:kern w:val="0"/>
                <w:sz w:val="20"/>
                <w:szCs w:val="20"/>
                <w:highlight w:val="none"/>
                <w:u w:val="none"/>
                <w:lang w:val="en-US" w:eastAsia="zh-CN" w:bidi="ar"/>
              </w:rPr>
              <w:t>分；</w:t>
            </w:r>
            <w:r>
              <w:rPr>
                <w:rStyle w:val="16"/>
                <w:rFonts w:hint="default" w:ascii="Times New Roman" w:hAnsi="Times New Roman" w:eastAsia="宋体" w:cs="Times New Roman"/>
                <w:color w:val="auto"/>
                <w:highlight w:val="none"/>
                <w:lang w:val="en-US" w:eastAsia="zh-CN" w:bidi="ar"/>
              </w:rPr>
              <w:t>0-10%</w:t>
            </w:r>
            <w:r>
              <w:rPr>
                <w:rFonts w:hint="default" w:ascii="Times New Roman" w:hAnsi="Times New Roman" w:eastAsia="宋体" w:cs="Times New Roman"/>
                <w:i w:val="0"/>
                <w:iCs w:val="0"/>
                <w:color w:val="auto"/>
                <w:kern w:val="0"/>
                <w:sz w:val="20"/>
                <w:szCs w:val="20"/>
                <w:highlight w:val="none"/>
                <w:u w:val="none"/>
                <w:lang w:val="en-US" w:eastAsia="zh-CN" w:bidi="ar"/>
              </w:rPr>
              <w:t>（含），计3</w:t>
            </w:r>
            <w:r>
              <w:rPr>
                <w:rStyle w:val="16"/>
                <w:rFonts w:hint="default" w:ascii="Times New Roman" w:hAnsi="Times New Roman" w:eastAsia="宋体" w:cs="Times New Roman"/>
                <w:color w:val="auto"/>
                <w:highlight w:val="none"/>
                <w:lang w:val="en-US" w:eastAsia="zh-CN" w:bidi="ar"/>
              </w:rPr>
              <w:t>分；</w:t>
            </w:r>
            <w:r>
              <w:rPr>
                <w:rFonts w:hint="default" w:ascii="Times New Roman" w:hAnsi="Times New Roman" w:eastAsia="宋体" w:cs="Times New Roman"/>
                <w:i w:val="0"/>
                <w:iCs w:val="0"/>
                <w:color w:val="auto"/>
                <w:kern w:val="0"/>
                <w:sz w:val="20"/>
                <w:szCs w:val="20"/>
                <w:highlight w:val="none"/>
                <w:u w:val="none"/>
                <w:lang w:val="en-US" w:eastAsia="zh-CN" w:bidi="ar"/>
              </w:rPr>
              <w:t>超过</w:t>
            </w:r>
            <w:r>
              <w:rPr>
                <w:rStyle w:val="16"/>
                <w:rFonts w:hint="default" w:ascii="Times New Roman" w:hAnsi="Times New Roman" w:eastAsia="宋体" w:cs="Times New Roman"/>
                <w:color w:val="auto"/>
                <w:highlight w:val="none"/>
                <w:lang w:val="en-US" w:eastAsia="zh-CN" w:bidi="ar"/>
              </w:rPr>
              <w:t>10%不得分</w:t>
            </w:r>
          </w:p>
        </w:tc>
        <w:tc>
          <w:tcPr>
            <w:tcW w:w="206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预算调整率</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（预算调整数</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预算数）</w:t>
            </w:r>
            <w:r>
              <w:rPr>
                <w:rStyle w:val="16"/>
                <w:rFonts w:hint="default" w:ascii="Times New Roman" w:hAnsi="Times New Roman" w:eastAsia="宋体" w:cs="Times New Roman"/>
                <w:color w:val="auto"/>
                <w:highlight w:val="none"/>
                <w:lang w:val="en-US" w:eastAsia="zh-CN" w:bidi="ar"/>
              </w:rPr>
              <w:t>×100%</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预算调整数：单位在本年度内涉及预算的追加、追减或结构调整的资金总和（因落实国家政策、发生不可抗力、上级部门或本级党委政府临时交办而产生的调整除外）。</w:t>
            </w:r>
          </w:p>
        </w:tc>
        <w:tc>
          <w:tcPr>
            <w:tcW w:w="6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0"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预算执行</w:t>
            </w:r>
          </w:p>
        </w:tc>
        <w:tc>
          <w:tcPr>
            <w:tcW w:w="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31</w:t>
            </w:r>
          </w:p>
        </w:tc>
        <w:tc>
          <w:tcPr>
            <w:tcW w:w="7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结转</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结余率</w:t>
            </w:r>
          </w:p>
        </w:tc>
        <w:tc>
          <w:tcPr>
            <w:tcW w:w="5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w:t>
            </w:r>
          </w:p>
        </w:tc>
        <w:tc>
          <w:tcPr>
            <w:tcW w:w="274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无结转结余数（含本年度只结转了一次当年上级转移支付资金）得满分，其余情况不得分。</w:t>
            </w:r>
          </w:p>
        </w:tc>
        <w:tc>
          <w:tcPr>
            <w:tcW w:w="206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结转结余率</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结转结余总额</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支出预算数</w:t>
            </w:r>
            <w:r>
              <w:rPr>
                <w:rStyle w:val="16"/>
                <w:rFonts w:hint="default" w:ascii="Times New Roman" w:hAnsi="Times New Roman" w:eastAsia="宋体" w:cs="Times New Roman"/>
                <w:color w:val="auto"/>
                <w:highlight w:val="none"/>
                <w:lang w:val="en-US" w:eastAsia="zh-CN" w:bidi="ar"/>
              </w:rPr>
              <w:t>×100%</w:t>
            </w:r>
            <w:r>
              <w:rPr>
                <w:rStyle w:val="16"/>
                <w:rFonts w:hint="default" w:ascii="Times New Roman" w:hAnsi="Times New Roman" w:eastAsia="宋体" w:cs="Times New Roman"/>
                <w:color w:val="auto"/>
                <w:highlight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结转结余总额：单位本年度的结转资金与结余资金之和（以决算为准）</w:t>
            </w:r>
          </w:p>
        </w:tc>
        <w:tc>
          <w:tcPr>
            <w:tcW w:w="6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2"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公用</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经费</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控制率</w:t>
            </w:r>
          </w:p>
        </w:tc>
        <w:tc>
          <w:tcPr>
            <w:tcW w:w="5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w:t>
            </w:r>
          </w:p>
        </w:tc>
        <w:tc>
          <w:tcPr>
            <w:tcW w:w="274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Style w:val="16"/>
                <w:rFonts w:hint="default" w:ascii="Times New Roman" w:hAnsi="Times New Roman" w:eastAsia="宋体" w:cs="Times New Roman"/>
                <w:color w:val="auto"/>
                <w:highlight w:val="none"/>
                <w:lang w:val="en-US" w:eastAsia="zh-CN" w:bidi="ar"/>
              </w:rPr>
              <w:t>100%</w:t>
            </w:r>
            <w:r>
              <w:rPr>
                <w:rFonts w:hint="default" w:ascii="Times New Roman" w:hAnsi="Times New Roman" w:eastAsia="宋体" w:cs="Times New Roman"/>
                <w:i w:val="0"/>
                <w:iCs w:val="0"/>
                <w:color w:val="auto"/>
                <w:kern w:val="0"/>
                <w:sz w:val="20"/>
                <w:szCs w:val="20"/>
                <w:highlight w:val="none"/>
                <w:u w:val="none"/>
                <w:lang w:val="en-US" w:eastAsia="zh-CN" w:bidi="ar"/>
              </w:rPr>
              <w:t>以下（含）计满分，每超出</w:t>
            </w:r>
            <w:r>
              <w:rPr>
                <w:rStyle w:val="16"/>
                <w:rFonts w:hint="default" w:ascii="Times New Roman" w:hAnsi="Times New Roman" w:eastAsia="宋体" w:cs="Times New Roman"/>
                <w:color w:val="auto"/>
                <w:highlight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扣</w:t>
            </w:r>
            <w:r>
              <w:rPr>
                <w:rStyle w:val="16"/>
                <w:rFonts w:hint="default" w:ascii="Times New Roman" w:hAnsi="Times New Roman" w:eastAsia="宋体" w:cs="Times New Roman"/>
                <w:color w:val="auto"/>
                <w:highlight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分，扣完为止。</w:t>
            </w:r>
          </w:p>
        </w:tc>
        <w:tc>
          <w:tcPr>
            <w:tcW w:w="206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公用经费控制率</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（实际支出公用经费总额</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预算安排公用经费总额）</w:t>
            </w:r>
            <w:r>
              <w:rPr>
                <w:rStyle w:val="16"/>
                <w:rFonts w:hint="default" w:ascii="Times New Roman" w:hAnsi="Times New Roman" w:eastAsia="宋体" w:cs="Times New Roman"/>
                <w:color w:val="auto"/>
                <w:highlight w:val="none"/>
                <w:lang w:val="en-US" w:eastAsia="zh-CN" w:bidi="ar"/>
              </w:rPr>
              <w:t>×100%</w:t>
            </w:r>
            <w:r>
              <w:rPr>
                <w:rFonts w:hint="default" w:ascii="Times New Roman" w:hAnsi="Times New Roman" w:eastAsia="宋体" w:cs="Times New Roman"/>
                <w:i w:val="0"/>
                <w:iCs w:val="0"/>
                <w:color w:val="auto"/>
                <w:kern w:val="0"/>
                <w:sz w:val="20"/>
                <w:szCs w:val="20"/>
                <w:highlight w:val="none"/>
                <w:u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公用经费支出是指部门基本支出中的一般商品和服务支出。</w:t>
            </w:r>
          </w:p>
        </w:tc>
        <w:tc>
          <w:tcPr>
            <w:tcW w:w="6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“三公</w:t>
            </w:r>
            <w:r>
              <w:rPr>
                <w:rStyle w:val="16"/>
                <w:rFonts w:hint="default" w:ascii="Times New Roman" w:hAnsi="Times New Roman" w:eastAsia="宋体" w:cs="Times New Roman"/>
                <w:color w:val="auto"/>
                <w:highlight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经费</w:t>
            </w:r>
            <w:r>
              <w:rPr>
                <w:rStyle w:val="16"/>
                <w:rFonts w:hint="default" w:ascii="Times New Roman" w:hAnsi="Times New Roman" w:eastAsia="宋体" w:cs="Times New Roman"/>
                <w:color w:val="auto"/>
                <w:highlight w:val="none"/>
                <w:lang w:val="en-US" w:eastAsia="zh-CN" w:bidi="ar"/>
              </w:rPr>
              <w:t>”</w:t>
            </w:r>
            <w:r>
              <w:rPr>
                <w:rStyle w:val="16"/>
                <w:rFonts w:hint="default" w:ascii="Times New Roman" w:hAnsi="Times New Roman" w:eastAsia="宋体" w:cs="Times New Roman"/>
                <w:color w:val="auto"/>
                <w:highlight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控制率</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w:t>
            </w:r>
          </w:p>
        </w:tc>
        <w:tc>
          <w:tcPr>
            <w:tcW w:w="27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Style w:val="16"/>
                <w:rFonts w:hint="default" w:ascii="Times New Roman" w:hAnsi="Times New Roman" w:eastAsia="宋体" w:cs="Times New Roman"/>
                <w:color w:val="auto"/>
                <w:highlight w:val="none"/>
                <w:lang w:val="en-US" w:eastAsia="zh-CN" w:bidi="ar"/>
              </w:rPr>
              <w:t>100%</w:t>
            </w:r>
            <w:r>
              <w:rPr>
                <w:rFonts w:hint="default" w:ascii="Times New Roman" w:hAnsi="Times New Roman" w:eastAsia="宋体" w:cs="Times New Roman"/>
                <w:i w:val="0"/>
                <w:iCs w:val="0"/>
                <w:color w:val="auto"/>
                <w:kern w:val="0"/>
                <w:sz w:val="20"/>
                <w:szCs w:val="20"/>
                <w:highlight w:val="none"/>
                <w:u w:val="none"/>
                <w:lang w:val="en-US" w:eastAsia="zh-CN" w:bidi="ar"/>
              </w:rPr>
              <w:t>以下（含）计满分，每超出</w:t>
            </w:r>
            <w:r>
              <w:rPr>
                <w:rStyle w:val="16"/>
                <w:rFonts w:hint="default" w:ascii="Times New Roman" w:hAnsi="Times New Roman" w:eastAsia="宋体" w:cs="Times New Roman"/>
                <w:color w:val="auto"/>
                <w:highlight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扣</w:t>
            </w:r>
            <w:r>
              <w:rPr>
                <w:rStyle w:val="16"/>
                <w:rFonts w:hint="default" w:ascii="Times New Roman" w:hAnsi="Times New Roman" w:eastAsia="宋体" w:cs="Times New Roman"/>
                <w:color w:val="auto"/>
                <w:highlight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分，扣完为止。</w:t>
            </w:r>
          </w:p>
        </w:tc>
        <w:tc>
          <w:tcPr>
            <w:tcW w:w="20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三公经费</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控制率</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三公经费</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实际支出数</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三公经费</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预算安排数）</w:t>
            </w:r>
            <w:r>
              <w:rPr>
                <w:rStyle w:val="16"/>
                <w:rFonts w:hint="default" w:ascii="Times New Roman" w:hAnsi="Times New Roman" w:eastAsia="宋体" w:cs="Times New Roman"/>
                <w:color w:val="auto"/>
                <w:highlight w:val="none"/>
                <w:lang w:val="en-US" w:eastAsia="zh-CN" w:bidi="ar"/>
              </w:rPr>
              <w:t>×100%</w:t>
            </w:r>
            <w:r>
              <w:rPr>
                <w:rFonts w:hint="default" w:ascii="Times New Roman" w:hAnsi="Times New Roman" w:eastAsia="宋体" w:cs="Times New Roman"/>
                <w:i w:val="0"/>
                <w:iCs w:val="0"/>
                <w:color w:val="auto"/>
                <w:kern w:val="0"/>
                <w:sz w:val="20"/>
                <w:szCs w:val="20"/>
                <w:highlight w:val="none"/>
                <w:u w:val="none"/>
                <w:lang w:val="en-US" w:eastAsia="zh-CN" w:bidi="ar"/>
              </w:rPr>
              <w:t>。</w:t>
            </w:r>
          </w:p>
        </w:tc>
        <w:tc>
          <w:tcPr>
            <w:tcW w:w="6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政府</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采购</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执行率</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w:t>
            </w:r>
          </w:p>
        </w:tc>
        <w:tc>
          <w:tcPr>
            <w:tcW w:w="27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Style w:val="16"/>
                <w:rFonts w:hint="default" w:ascii="Times New Roman" w:hAnsi="Times New Roman" w:eastAsia="宋体" w:cs="Times New Roman"/>
                <w:color w:val="auto"/>
                <w:highlight w:val="none"/>
                <w:lang w:val="en-US" w:eastAsia="zh-CN" w:bidi="ar"/>
              </w:rPr>
              <w:t>100%</w:t>
            </w:r>
            <w:r>
              <w:rPr>
                <w:rFonts w:hint="default" w:ascii="Times New Roman" w:hAnsi="Times New Roman" w:eastAsia="宋体" w:cs="Times New Roman"/>
                <w:i w:val="0"/>
                <w:iCs w:val="0"/>
                <w:color w:val="auto"/>
                <w:kern w:val="0"/>
                <w:sz w:val="20"/>
                <w:szCs w:val="20"/>
                <w:highlight w:val="none"/>
                <w:u w:val="none"/>
                <w:lang w:val="en-US" w:eastAsia="zh-CN" w:bidi="ar"/>
              </w:rPr>
              <w:t>计满分，每超过（降低）</w:t>
            </w:r>
            <w:r>
              <w:rPr>
                <w:rStyle w:val="16"/>
                <w:rFonts w:hint="default" w:ascii="Times New Roman" w:hAnsi="Times New Roman" w:eastAsia="宋体" w:cs="Times New Roman"/>
                <w:color w:val="auto"/>
                <w:highlight w:val="none"/>
                <w:lang w:val="en-US" w:eastAsia="zh-CN" w:bidi="ar"/>
              </w:rPr>
              <w:t>5%</w:t>
            </w:r>
            <w:r>
              <w:rPr>
                <w:rFonts w:hint="default" w:ascii="Times New Roman" w:hAnsi="Times New Roman" w:eastAsia="宋体" w:cs="Times New Roman"/>
                <w:i w:val="0"/>
                <w:iCs w:val="0"/>
                <w:color w:val="auto"/>
                <w:kern w:val="0"/>
                <w:sz w:val="20"/>
                <w:szCs w:val="20"/>
                <w:highlight w:val="none"/>
                <w:u w:val="none"/>
                <w:lang w:val="en-US" w:eastAsia="zh-CN" w:bidi="ar"/>
              </w:rPr>
              <w:t>扣</w:t>
            </w:r>
            <w:r>
              <w:rPr>
                <w:rStyle w:val="16"/>
                <w:rFonts w:hint="default" w:ascii="Times New Roman" w:hAnsi="Times New Roman" w:eastAsia="宋体" w:cs="Times New Roman"/>
                <w:color w:val="auto"/>
                <w:highlight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分。扣完为止。</w:t>
            </w:r>
          </w:p>
        </w:tc>
        <w:tc>
          <w:tcPr>
            <w:tcW w:w="20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Style w:val="16"/>
                <w:rFonts w:hint="default" w:ascii="Times New Roman" w:hAnsi="Times New Roman" w:eastAsia="宋体" w:cs="Times New Roman"/>
                <w:color w:val="auto"/>
                <w:highlight w:val="none"/>
                <w:lang w:val="en-US" w:eastAsia="zh-CN" w:bidi="ar"/>
              </w:rPr>
              <w:t>政府采购执行率=</w:t>
            </w:r>
            <w:r>
              <w:rPr>
                <w:rFonts w:hint="default" w:ascii="Times New Roman" w:hAnsi="Times New Roman" w:eastAsia="宋体" w:cs="Times New Roman"/>
                <w:i w:val="0"/>
                <w:iCs w:val="0"/>
                <w:color w:val="auto"/>
                <w:kern w:val="0"/>
                <w:sz w:val="20"/>
                <w:szCs w:val="20"/>
                <w:highlight w:val="none"/>
                <w:u w:val="none"/>
                <w:lang w:val="en-US" w:eastAsia="zh-CN" w:bidi="ar"/>
              </w:rPr>
              <w:t>（实际政府采购金额</w:t>
            </w:r>
            <w:r>
              <w:rPr>
                <w:rStyle w:val="16"/>
                <w:rFonts w:hint="default" w:ascii="Times New Roman" w:hAnsi="Times New Roman" w:eastAsia="宋体" w:cs="Times New Roman"/>
                <w:color w:val="auto"/>
                <w:highlight w:val="none"/>
                <w:lang w:val="en-US" w:eastAsia="zh-CN" w:bidi="ar"/>
              </w:rPr>
              <w:t>/</w:t>
            </w:r>
            <w:r>
              <w:rPr>
                <w:rFonts w:hint="default" w:ascii="Times New Roman" w:hAnsi="Times New Roman" w:eastAsia="宋体" w:cs="Times New Roman"/>
                <w:i w:val="0"/>
                <w:iCs w:val="0"/>
                <w:color w:val="auto"/>
                <w:kern w:val="0"/>
                <w:sz w:val="20"/>
                <w:szCs w:val="20"/>
                <w:highlight w:val="none"/>
                <w:u w:val="none"/>
                <w:lang w:val="en-US" w:eastAsia="zh-CN" w:bidi="ar"/>
              </w:rPr>
              <w:t>政府采购预算数）</w:t>
            </w:r>
            <w:r>
              <w:rPr>
                <w:rStyle w:val="16"/>
                <w:rFonts w:hint="default" w:ascii="Times New Roman" w:hAnsi="Times New Roman" w:eastAsia="宋体" w:cs="Times New Roman"/>
                <w:color w:val="auto"/>
                <w:highlight w:val="none"/>
                <w:lang w:val="en-US" w:eastAsia="zh-CN" w:bidi="ar"/>
              </w:rPr>
              <w:t xml:space="preserve">×100%    </w:t>
            </w:r>
          </w:p>
        </w:tc>
        <w:tc>
          <w:tcPr>
            <w:tcW w:w="6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预算管理</w:t>
            </w:r>
          </w:p>
        </w:tc>
        <w:tc>
          <w:tcPr>
            <w:tcW w:w="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16</w:t>
            </w:r>
          </w:p>
        </w:tc>
        <w:tc>
          <w:tcPr>
            <w:tcW w:w="7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管理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制度</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健全性</w:t>
            </w:r>
          </w:p>
        </w:tc>
        <w:tc>
          <w:tcPr>
            <w:tcW w:w="5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w:t>
            </w:r>
          </w:p>
        </w:tc>
        <w:tc>
          <w:tcPr>
            <w:tcW w:w="274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①财务管理内控制度、会计核算制度等管理制度、有关反馈问题整改落实情况，1分；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②有本部门厉行节约制度，</w:t>
            </w:r>
            <w:r>
              <w:rPr>
                <w:rStyle w:val="16"/>
                <w:rFonts w:hint="default" w:ascii="Times New Roman" w:hAnsi="Times New Roman" w:eastAsia="宋体" w:cs="Times New Roman"/>
                <w:color w:val="auto"/>
                <w:highlight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③相关管理制度合法、合规、完整，1分；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④相关管理制度得到有效执行，1分。以上各项制度缺少一项扣1分，扣完为止。</w:t>
            </w:r>
          </w:p>
        </w:tc>
        <w:tc>
          <w:tcPr>
            <w:tcW w:w="206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sz w:val="20"/>
                <w:szCs w:val="20"/>
                <w:highlight w:val="none"/>
                <w:u w:val="none"/>
              </w:rPr>
              <w:t>单位的财务和</w:t>
            </w:r>
            <w:r>
              <w:rPr>
                <w:rFonts w:hint="default" w:ascii="Times New Roman" w:hAnsi="Times New Roman" w:cs="Times New Roman"/>
                <w:i w:val="0"/>
                <w:iCs w:val="0"/>
                <w:color w:val="auto"/>
                <w:sz w:val="20"/>
                <w:szCs w:val="20"/>
                <w:highlight w:val="none"/>
                <w:u w:val="none"/>
                <w:lang w:val="en-US" w:eastAsia="zh-CN"/>
              </w:rPr>
              <w:t>相关</w:t>
            </w:r>
            <w:r>
              <w:rPr>
                <w:rFonts w:hint="default" w:ascii="Times New Roman" w:hAnsi="Times New Roman" w:eastAsia="宋体" w:cs="Times New Roman"/>
                <w:i w:val="0"/>
                <w:iCs w:val="0"/>
                <w:color w:val="auto"/>
                <w:sz w:val="20"/>
                <w:szCs w:val="20"/>
                <w:highlight w:val="none"/>
                <w:u w:val="none"/>
              </w:rPr>
              <w:t>管理制度是否健全，用以反映和考</w:t>
            </w:r>
            <w:bookmarkStart w:id="0" w:name="_GoBack"/>
            <w:bookmarkEnd w:id="0"/>
            <w:r>
              <w:rPr>
                <w:rFonts w:hint="default" w:ascii="Times New Roman" w:hAnsi="Times New Roman" w:eastAsia="宋体" w:cs="Times New Roman"/>
                <w:i w:val="0"/>
                <w:iCs w:val="0"/>
                <w:color w:val="auto"/>
                <w:sz w:val="20"/>
                <w:szCs w:val="20"/>
                <w:highlight w:val="none"/>
                <w:u w:val="none"/>
              </w:rPr>
              <w:t>核财务和</w:t>
            </w:r>
            <w:r>
              <w:rPr>
                <w:rFonts w:hint="default" w:ascii="Times New Roman" w:hAnsi="Times New Roman" w:cs="Times New Roman"/>
                <w:i w:val="0"/>
                <w:iCs w:val="0"/>
                <w:color w:val="auto"/>
                <w:sz w:val="20"/>
                <w:szCs w:val="20"/>
                <w:highlight w:val="none"/>
                <w:u w:val="none"/>
                <w:lang w:val="en-US" w:eastAsia="zh-CN"/>
              </w:rPr>
              <w:t>相关</w:t>
            </w:r>
            <w:r>
              <w:rPr>
                <w:rFonts w:hint="default" w:ascii="Times New Roman" w:hAnsi="Times New Roman" w:eastAsia="宋体" w:cs="Times New Roman"/>
                <w:i w:val="0"/>
                <w:iCs w:val="0"/>
                <w:color w:val="auto"/>
                <w:sz w:val="20"/>
                <w:szCs w:val="20"/>
                <w:highlight w:val="none"/>
                <w:u w:val="none"/>
              </w:rPr>
              <w:t>管理制度对</w:t>
            </w:r>
            <w:r>
              <w:rPr>
                <w:rFonts w:hint="default" w:ascii="Times New Roman" w:hAnsi="Times New Roman" w:cs="Times New Roman"/>
                <w:i w:val="0"/>
                <w:iCs w:val="0"/>
                <w:color w:val="auto"/>
                <w:sz w:val="20"/>
                <w:szCs w:val="20"/>
                <w:highlight w:val="none"/>
                <w:u w:val="none"/>
                <w:lang w:val="en-US" w:eastAsia="zh-CN"/>
              </w:rPr>
              <w:t>部门预算</w:t>
            </w:r>
            <w:r>
              <w:rPr>
                <w:rFonts w:hint="default" w:ascii="Times New Roman" w:hAnsi="Times New Roman" w:eastAsia="宋体" w:cs="Times New Roman"/>
                <w:i w:val="0"/>
                <w:iCs w:val="0"/>
                <w:color w:val="auto"/>
                <w:sz w:val="20"/>
                <w:szCs w:val="20"/>
                <w:highlight w:val="none"/>
                <w:u w:val="none"/>
              </w:rPr>
              <w:t>顺利</w:t>
            </w:r>
            <w:r>
              <w:rPr>
                <w:rFonts w:hint="default" w:ascii="Times New Roman" w:hAnsi="Times New Roman" w:cs="Times New Roman"/>
                <w:i w:val="0"/>
                <w:iCs w:val="0"/>
                <w:color w:val="auto"/>
                <w:sz w:val="20"/>
                <w:szCs w:val="20"/>
                <w:highlight w:val="none"/>
                <w:u w:val="none"/>
                <w:lang w:val="en-US" w:eastAsia="zh-CN"/>
              </w:rPr>
              <w:t>执行</w:t>
            </w:r>
            <w:r>
              <w:rPr>
                <w:rFonts w:hint="default" w:ascii="Times New Roman" w:hAnsi="Times New Roman" w:eastAsia="宋体" w:cs="Times New Roman"/>
                <w:i w:val="0"/>
                <w:iCs w:val="0"/>
                <w:color w:val="auto"/>
                <w:sz w:val="20"/>
                <w:szCs w:val="20"/>
                <w:highlight w:val="none"/>
                <w:u w:val="none"/>
              </w:rPr>
              <w:t>的保障情况。</w:t>
            </w:r>
          </w:p>
        </w:tc>
        <w:tc>
          <w:tcPr>
            <w:tcW w:w="6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9"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资金</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使用</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合规性</w:t>
            </w:r>
          </w:p>
        </w:tc>
        <w:tc>
          <w:tcPr>
            <w:tcW w:w="5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8</w:t>
            </w:r>
          </w:p>
        </w:tc>
        <w:tc>
          <w:tcPr>
            <w:tcW w:w="274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①支出符合国家财经法规和财务管理制度规定以及有关项目资金管理办法的规定，</w:t>
            </w:r>
            <w:r>
              <w:rPr>
                <w:rStyle w:val="16"/>
                <w:rFonts w:hint="default" w:ascii="Times New Roman" w:hAnsi="Times New Roman" w:eastAsia="宋体" w:cs="Times New Roman"/>
                <w:color w:val="auto"/>
                <w:highlight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②资金拨付有完整的审批程序和手续，</w:t>
            </w:r>
            <w:r>
              <w:rPr>
                <w:rStyle w:val="16"/>
                <w:rFonts w:hint="default" w:ascii="Times New Roman" w:hAnsi="Times New Roman" w:eastAsia="宋体" w:cs="Times New Roman"/>
                <w:color w:val="auto"/>
                <w:highlight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③项目支出是否专款专用，无随意调整现象，1分；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④支出符合部门预算批复或合同规定使用的用途，1分；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⑤资金使用无截留、挤占、挪用、虚列支出等情况，1分。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⑥大额资金使用经单位党组集体讨论决策，1分；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⑦按政府会计准则制度进行账务处理，1分。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以上情况每出现一例不符合要求的扣1分以上，扣完为止。</w:t>
            </w:r>
          </w:p>
        </w:tc>
        <w:tc>
          <w:tcPr>
            <w:tcW w:w="206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lang w:val="en-US" w:eastAsia="zh-CN"/>
              </w:rPr>
            </w:pPr>
            <w:r>
              <w:rPr>
                <w:rFonts w:hint="default" w:ascii="Times New Roman" w:hAnsi="Times New Roman" w:cs="Times New Roman"/>
                <w:i w:val="0"/>
                <w:iCs w:val="0"/>
                <w:color w:val="auto"/>
                <w:sz w:val="20"/>
                <w:szCs w:val="20"/>
                <w:highlight w:val="none"/>
                <w:u w:val="none"/>
                <w:lang w:val="en-US" w:eastAsia="zh-CN"/>
              </w:rPr>
              <w:t>资金使用依法依规，科学管理，通过相关制度或措施进行控制和监督，确保资金的合法、规范、透明、有效使用，以取得良好的经济效益和社会效益。</w:t>
            </w:r>
          </w:p>
        </w:tc>
        <w:tc>
          <w:tcPr>
            <w:tcW w:w="6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0"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过</w:t>
            </w:r>
            <w:r>
              <w:rPr>
                <w:rStyle w:val="16"/>
                <w:rFonts w:hint="default" w:ascii="Times New Roman" w:hAnsi="Times New Roman" w:eastAsia="宋体" w:cs="Times New Roman"/>
                <w:color w:val="auto"/>
                <w:highlight w:val="none"/>
                <w:lang w:val="en-US" w:eastAsia="zh-CN" w:bidi="ar"/>
              </w:rPr>
              <w:t xml:space="preserve">                                                                                                                                       </w:t>
            </w:r>
            <w:r>
              <w:rPr>
                <w:rFonts w:hint="default" w:ascii="Times New Roman" w:hAnsi="Times New Roman" w:eastAsia="宋体" w:cs="Times New Roman"/>
                <w:i w:val="0"/>
                <w:iCs w:val="0"/>
                <w:color w:val="auto"/>
                <w:kern w:val="0"/>
                <w:sz w:val="20"/>
                <w:szCs w:val="20"/>
                <w:highlight w:val="none"/>
                <w:u w:val="none"/>
                <w:lang w:val="en-US" w:eastAsia="zh-CN" w:bidi="ar"/>
              </w:rPr>
              <w:t>程</w:t>
            </w:r>
          </w:p>
        </w:tc>
        <w:tc>
          <w:tcPr>
            <w:tcW w:w="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56</w:t>
            </w:r>
          </w:p>
        </w:tc>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预算管理</w:t>
            </w:r>
          </w:p>
        </w:tc>
        <w:tc>
          <w:tcPr>
            <w:tcW w:w="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16</w:t>
            </w:r>
          </w:p>
        </w:tc>
        <w:tc>
          <w:tcPr>
            <w:tcW w:w="7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预决算信息</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公开性</w:t>
            </w:r>
          </w:p>
        </w:tc>
        <w:tc>
          <w:tcPr>
            <w:tcW w:w="5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4</w:t>
            </w:r>
          </w:p>
        </w:tc>
        <w:tc>
          <w:tcPr>
            <w:tcW w:w="274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①规定内容公开预决算信息，1分；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②按规定时限公开预决算信息，</w:t>
            </w:r>
            <w:r>
              <w:rPr>
                <w:rStyle w:val="16"/>
                <w:rFonts w:hint="default" w:ascii="Times New Roman" w:hAnsi="Times New Roman" w:eastAsia="宋体" w:cs="Times New Roman"/>
                <w:color w:val="auto"/>
                <w:highlight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分；③基础数据信息和会计信息资料真实，1分；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④基础数据信息和会计信息资料完整，1分。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每出现一例不符合要求的扣1分，扣完为止。</w:t>
            </w:r>
          </w:p>
        </w:tc>
        <w:tc>
          <w:tcPr>
            <w:tcW w:w="206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预决算信息是指与部门预算、执行、决算、监督、绩效等管理相关的信息。</w:t>
            </w:r>
          </w:p>
        </w:tc>
        <w:tc>
          <w:tcPr>
            <w:tcW w:w="6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9"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资产管理</w:t>
            </w:r>
          </w:p>
        </w:tc>
        <w:tc>
          <w:tcPr>
            <w:tcW w:w="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9</w:t>
            </w:r>
          </w:p>
        </w:tc>
        <w:tc>
          <w:tcPr>
            <w:tcW w:w="7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资产</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管理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制度</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健全性</w:t>
            </w:r>
          </w:p>
        </w:tc>
        <w:tc>
          <w:tcPr>
            <w:tcW w:w="5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3</w:t>
            </w:r>
          </w:p>
        </w:tc>
        <w:tc>
          <w:tcPr>
            <w:tcW w:w="274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①资产购置编制年度预算，</w:t>
            </w:r>
            <w:r>
              <w:rPr>
                <w:rStyle w:val="16"/>
                <w:rFonts w:hint="default" w:ascii="Times New Roman" w:hAnsi="Times New Roman" w:eastAsia="宋体" w:cs="Times New Roman"/>
                <w:color w:val="auto"/>
                <w:highlight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②资产购置和处置手续齐全，</w:t>
            </w:r>
            <w:r>
              <w:rPr>
                <w:rStyle w:val="16"/>
                <w:rFonts w:hint="default" w:ascii="Times New Roman" w:hAnsi="Times New Roman" w:eastAsia="宋体" w:cs="Times New Roman"/>
                <w:color w:val="auto"/>
                <w:highlight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③资产处置和有偿使用资金足额上缴，1分。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以上每一项不符合规定扣1分，扣完即止。</w:t>
            </w:r>
          </w:p>
        </w:tc>
        <w:tc>
          <w:tcPr>
            <w:tcW w:w="206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单位为加强预算管理、规范财务行为而制定的管理制度是否健全完整，用以反映和考核单位预算管理制度对完成主要职责或促进事业发展的保障情况。</w:t>
            </w:r>
          </w:p>
        </w:tc>
        <w:tc>
          <w:tcPr>
            <w:tcW w:w="6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资产</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管理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安全性</w:t>
            </w:r>
          </w:p>
        </w:tc>
        <w:tc>
          <w:tcPr>
            <w:tcW w:w="5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5</w:t>
            </w:r>
          </w:p>
        </w:tc>
        <w:tc>
          <w:tcPr>
            <w:tcW w:w="274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①资产配置合理、保管完整，账实相符的，计1分，发现一例不符，扣</w:t>
            </w:r>
            <w:r>
              <w:rPr>
                <w:rStyle w:val="16"/>
                <w:rFonts w:hint="default" w:ascii="Times New Roman" w:hAnsi="Times New Roman" w:eastAsia="宋体" w:cs="Times New Roman"/>
                <w:color w:val="auto"/>
                <w:highlight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5分，扣完为止；</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②不超资产配置标准，计</w:t>
            </w:r>
            <w:r>
              <w:rPr>
                <w:rStyle w:val="16"/>
                <w:rFonts w:hint="default" w:ascii="Times New Roman" w:hAnsi="Times New Roman" w:eastAsia="宋体" w:cs="Times New Roman"/>
                <w:color w:val="auto"/>
                <w:highlight w:val="none"/>
                <w:lang w:val="en-US" w:eastAsia="zh-CN" w:bidi="ar"/>
              </w:rPr>
              <w:t>1</w:t>
            </w:r>
            <w:r>
              <w:rPr>
                <w:rFonts w:hint="default" w:ascii="Times New Roman" w:hAnsi="Times New Roman" w:eastAsia="宋体" w:cs="Times New Roman"/>
                <w:i w:val="0"/>
                <w:iCs w:val="0"/>
                <w:color w:val="auto"/>
                <w:kern w:val="0"/>
                <w:sz w:val="20"/>
                <w:szCs w:val="20"/>
                <w:highlight w:val="none"/>
                <w:u w:val="none"/>
                <w:lang w:val="en-US" w:eastAsia="zh-CN" w:bidi="ar"/>
              </w:rPr>
              <w:t>分，发现一例超过标准的，本项不得分；</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③资产处置规范，计1分，发现一例不符，扣0.5分，扣完为止；</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④资产购置履行政府采购手续，手续完整，计1分，发现一例不符，扣0.5分，扣完为止；</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⑤资产审批手续规范、齐全，计1分，发现一例不符，扣0.5分，扣完为止。</w:t>
            </w:r>
          </w:p>
        </w:tc>
        <w:tc>
          <w:tcPr>
            <w:tcW w:w="206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单位的资产是否保存完整、使用合规、配置合理、处置规范、收入及时足额上缴，用以反映和考核单位资产安全运行情况。</w:t>
            </w:r>
          </w:p>
        </w:tc>
        <w:tc>
          <w:tcPr>
            <w:tcW w:w="6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固定</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资产</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利用率</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w:t>
            </w:r>
          </w:p>
        </w:tc>
        <w:tc>
          <w:tcPr>
            <w:tcW w:w="27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Style w:val="16"/>
                <w:rFonts w:hint="default" w:ascii="Times New Roman" w:hAnsi="Times New Roman" w:eastAsia="宋体" w:cs="Times New Roman"/>
                <w:color w:val="auto"/>
                <w:highlight w:val="none"/>
                <w:lang w:val="en-US" w:eastAsia="zh-CN" w:bidi="ar"/>
              </w:rPr>
              <w:t>固定资产利用率100%</w:t>
            </w:r>
            <w:r>
              <w:rPr>
                <w:rFonts w:hint="default" w:ascii="Times New Roman" w:hAnsi="Times New Roman" w:eastAsia="宋体" w:cs="Times New Roman"/>
                <w:i w:val="0"/>
                <w:iCs w:val="0"/>
                <w:color w:val="auto"/>
                <w:kern w:val="0"/>
                <w:sz w:val="20"/>
                <w:szCs w:val="20"/>
                <w:highlight w:val="none"/>
                <w:u w:val="none"/>
                <w:lang w:val="en-US" w:eastAsia="zh-CN" w:bidi="ar"/>
              </w:rPr>
              <w:t>计1</w:t>
            </w:r>
            <w:r>
              <w:rPr>
                <w:rStyle w:val="16"/>
                <w:rFonts w:hint="default" w:ascii="Times New Roman" w:hAnsi="Times New Roman" w:eastAsia="宋体" w:cs="Times New Roman"/>
                <w:color w:val="auto"/>
                <w:highlight w:val="none"/>
                <w:lang w:val="en-US" w:eastAsia="zh-CN" w:bidi="ar"/>
              </w:rPr>
              <w:t>分，每下降1%</w:t>
            </w:r>
            <w:r>
              <w:rPr>
                <w:rFonts w:hint="default" w:ascii="Times New Roman" w:hAnsi="Times New Roman" w:eastAsia="宋体" w:cs="Times New Roman"/>
                <w:i w:val="0"/>
                <w:iCs w:val="0"/>
                <w:color w:val="auto"/>
                <w:kern w:val="0"/>
                <w:sz w:val="20"/>
                <w:szCs w:val="20"/>
                <w:highlight w:val="none"/>
                <w:u w:val="none"/>
                <w:lang w:val="en-US" w:eastAsia="zh-CN" w:bidi="ar"/>
              </w:rPr>
              <w:t>扣</w:t>
            </w:r>
            <w:r>
              <w:rPr>
                <w:rStyle w:val="16"/>
                <w:rFonts w:hint="default" w:ascii="Times New Roman" w:hAnsi="Times New Roman" w:eastAsia="宋体" w:cs="Times New Roman"/>
                <w:color w:val="auto"/>
                <w:highlight w:val="none"/>
                <w:lang w:val="en-US" w:eastAsia="zh-CN" w:bidi="ar"/>
              </w:rPr>
              <w:t>0.2</w:t>
            </w:r>
            <w:r>
              <w:rPr>
                <w:rFonts w:hint="default" w:ascii="Times New Roman" w:hAnsi="Times New Roman" w:eastAsia="宋体" w:cs="Times New Roman"/>
                <w:i w:val="0"/>
                <w:iCs w:val="0"/>
                <w:color w:val="auto"/>
                <w:kern w:val="0"/>
                <w:sz w:val="20"/>
                <w:szCs w:val="20"/>
                <w:highlight w:val="none"/>
                <w:u w:val="none"/>
                <w:lang w:val="en-US" w:eastAsia="zh-CN" w:bidi="ar"/>
              </w:rPr>
              <w:t>分，扣完为止。</w:t>
            </w:r>
          </w:p>
        </w:tc>
        <w:tc>
          <w:tcPr>
            <w:tcW w:w="20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单位实际在用固定资产总额与所有固定资产总额的比率，用以反映和考核单位固定资产使用效率程度。</w:t>
            </w:r>
          </w:p>
        </w:tc>
        <w:tc>
          <w:tcPr>
            <w:tcW w:w="6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4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产出及效率</w:t>
            </w:r>
          </w:p>
        </w:tc>
        <w:tc>
          <w:tcPr>
            <w:tcW w:w="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26</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履职产出</w:t>
            </w: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8</w:t>
            </w:r>
          </w:p>
        </w:tc>
        <w:tc>
          <w:tcPr>
            <w:tcW w:w="795" w:type="dxa"/>
            <w:gridSpan w:val="2"/>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产出</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指标</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8</w:t>
            </w:r>
          </w:p>
        </w:tc>
        <w:tc>
          <w:tcPr>
            <w:tcW w:w="480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各单位根据其履职主要工作，结合绩效目标和项目性质，对重点工作计划完成数、产出的质量、产出的时效性和有关成本控制情况，各部门根据实际情况有选择的进行设置，并将其细化为相应的个性化指标。完成绩效目标得满分，只实现</w:t>
            </w:r>
            <w:r>
              <w:rPr>
                <w:rStyle w:val="16"/>
                <w:rFonts w:hint="default" w:ascii="Times New Roman" w:hAnsi="Times New Roman" w:eastAsia="宋体" w:cs="Times New Roman"/>
                <w:color w:val="auto"/>
                <w:highlight w:val="none"/>
                <w:lang w:val="en-US" w:eastAsia="zh-CN" w:bidi="ar"/>
              </w:rPr>
              <w:t>70%</w:t>
            </w:r>
            <w:r>
              <w:rPr>
                <w:rFonts w:hint="default" w:ascii="Times New Roman" w:hAnsi="Times New Roman" w:eastAsia="宋体" w:cs="Times New Roman"/>
                <w:i w:val="0"/>
                <w:iCs w:val="0"/>
                <w:color w:val="auto"/>
                <w:kern w:val="0"/>
                <w:sz w:val="20"/>
                <w:szCs w:val="20"/>
                <w:highlight w:val="none"/>
                <w:u w:val="none"/>
                <w:lang w:val="en-US" w:eastAsia="zh-CN" w:bidi="ar"/>
              </w:rPr>
              <w:t>（含）以上得</w:t>
            </w:r>
            <w:r>
              <w:rPr>
                <w:rStyle w:val="16"/>
                <w:rFonts w:hint="default" w:ascii="Times New Roman" w:hAnsi="Times New Roman" w:eastAsia="宋体" w:cs="Times New Roman"/>
                <w:color w:val="auto"/>
                <w:highlight w:val="none"/>
                <w:lang w:val="en-US" w:eastAsia="zh-CN" w:bidi="ar"/>
              </w:rPr>
              <w:t>4</w:t>
            </w:r>
            <w:r>
              <w:rPr>
                <w:rFonts w:hint="default" w:ascii="Times New Roman" w:hAnsi="Times New Roman" w:eastAsia="宋体" w:cs="Times New Roman"/>
                <w:i w:val="0"/>
                <w:iCs w:val="0"/>
                <w:color w:val="auto"/>
                <w:kern w:val="0"/>
                <w:sz w:val="20"/>
                <w:szCs w:val="20"/>
                <w:highlight w:val="none"/>
                <w:u w:val="none"/>
                <w:lang w:val="en-US" w:eastAsia="zh-CN" w:bidi="ar"/>
              </w:rPr>
              <w:t>分，</w:t>
            </w:r>
            <w:r>
              <w:rPr>
                <w:rStyle w:val="16"/>
                <w:rFonts w:hint="default" w:ascii="Times New Roman" w:hAnsi="Times New Roman" w:eastAsia="宋体" w:cs="Times New Roman"/>
                <w:color w:val="auto"/>
                <w:highlight w:val="none"/>
                <w:lang w:val="en-US" w:eastAsia="zh-CN" w:bidi="ar"/>
              </w:rPr>
              <w:t>70%</w:t>
            </w:r>
            <w:r>
              <w:rPr>
                <w:rFonts w:hint="default" w:ascii="Times New Roman" w:hAnsi="Times New Roman" w:eastAsia="宋体" w:cs="Times New Roman"/>
                <w:i w:val="0"/>
                <w:iCs w:val="0"/>
                <w:color w:val="auto"/>
                <w:kern w:val="0"/>
                <w:sz w:val="20"/>
                <w:szCs w:val="20"/>
                <w:highlight w:val="none"/>
                <w:u w:val="none"/>
                <w:lang w:val="en-US" w:eastAsia="zh-CN" w:bidi="ar"/>
              </w:rPr>
              <w:t>以下不得分。</w:t>
            </w:r>
          </w:p>
        </w:tc>
        <w:tc>
          <w:tcPr>
            <w:tcW w:w="6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履职 效益</w:t>
            </w:r>
          </w:p>
        </w:tc>
        <w:tc>
          <w:tcPr>
            <w:tcW w:w="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w:t>
            </w:r>
          </w:p>
        </w:tc>
        <w:tc>
          <w:tcPr>
            <w:tcW w:w="7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经济</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效益</w:t>
            </w:r>
          </w:p>
        </w:tc>
        <w:tc>
          <w:tcPr>
            <w:tcW w:w="5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w:t>
            </w:r>
          </w:p>
        </w:tc>
        <w:tc>
          <w:tcPr>
            <w:tcW w:w="4809" w:type="dxa"/>
            <w:gridSpan w:val="7"/>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Style w:val="16"/>
                <w:rFonts w:hint="default" w:ascii="Times New Roman" w:hAnsi="Times New Roman" w:eastAsia="宋体" w:cs="Times New Roman"/>
                <w:color w:val="auto"/>
                <w:highlight w:val="none"/>
                <w:lang w:val="en-US" w:eastAsia="zh-CN" w:bidi="ar"/>
              </w:rPr>
              <w:t>此两项指标为设置部门整体支出绩效评价指标时必须考虑的共性要素，可根据部门实际情况有选择的进行设置，并将其细化为相应的个性化指标。</w:t>
            </w:r>
            <w:r>
              <w:rPr>
                <w:rFonts w:hint="default" w:ascii="Times New Roman" w:hAnsi="Times New Roman" w:eastAsia="宋体" w:cs="Times New Roman"/>
                <w:i w:val="0"/>
                <w:iCs w:val="0"/>
                <w:color w:val="auto"/>
                <w:kern w:val="0"/>
                <w:sz w:val="20"/>
                <w:szCs w:val="20"/>
                <w:highlight w:val="none"/>
                <w:u w:val="none"/>
                <w:lang w:val="en-US" w:eastAsia="zh-CN" w:bidi="ar"/>
              </w:rPr>
              <w:t>完成绩效目标得满分，只实现</w:t>
            </w:r>
            <w:r>
              <w:rPr>
                <w:rStyle w:val="16"/>
                <w:rFonts w:hint="default" w:ascii="Times New Roman" w:hAnsi="Times New Roman" w:eastAsia="宋体" w:cs="Times New Roman"/>
                <w:color w:val="auto"/>
                <w:highlight w:val="none"/>
                <w:lang w:val="en-US" w:eastAsia="zh-CN" w:bidi="ar"/>
              </w:rPr>
              <w:t>70%</w:t>
            </w:r>
            <w:r>
              <w:rPr>
                <w:rFonts w:hint="default" w:ascii="Times New Roman" w:hAnsi="Times New Roman" w:eastAsia="宋体" w:cs="Times New Roman"/>
                <w:i w:val="0"/>
                <w:iCs w:val="0"/>
                <w:color w:val="auto"/>
                <w:kern w:val="0"/>
                <w:sz w:val="20"/>
                <w:szCs w:val="20"/>
                <w:highlight w:val="none"/>
                <w:u w:val="none"/>
                <w:lang w:val="en-US" w:eastAsia="zh-CN" w:bidi="ar"/>
              </w:rPr>
              <w:t>（含）以上得</w:t>
            </w:r>
            <w:r>
              <w:rPr>
                <w:rStyle w:val="16"/>
                <w:rFonts w:hint="default" w:ascii="Times New Roman" w:hAnsi="Times New Roman" w:eastAsia="宋体" w:cs="Times New Roman"/>
                <w:color w:val="auto"/>
                <w:highlight w:val="none"/>
                <w:lang w:val="en-US" w:eastAsia="zh-CN" w:bidi="ar"/>
              </w:rPr>
              <w:t>3</w:t>
            </w:r>
            <w:r>
              <w:rPr>
                <w:rFonts w:hint="default" w:ascii="Times New Roman" w:hAnsi="Times New Roman" w:eastAsia="宋体" w:cs="Times New Roman"/>
                <w:i w:val="0"/>
                <w:iCs w:val="0"/>
                <w:color w:val="auto"/>
                <w:kern w:val="0"/>
                <w:sz w:val="20"/>
                <w:szCs w:val="20"/>
                <w:highlight w:val="none"/>
                <w:u w:val="none"/>
                <w:lang w:val="en-US" w:eastAsia="zh-CN" w:bidi="ar"/>
              </w:rPr>
              <w:t>分，</w:t>
            </w:r>
            <w:r>
              <w:rPr>
                <w:rStyle w:val="16"/>
                <w:rFonts w:hint="default" w:ascii="Times New Roman" w:hAnsi="Times New Roman" w:eastAsia="宋体" w:cs="Times New Roman"/>
                <w:color w:val="auto"/>
                <w:highlight w:val="none"/>
                <w:lang w:val="en-US" w:eastAsia="zh-CN" w:bidi="ar"/>
              </w:rPr>
              <w:t>70%</w:t>
            </w:r>
            <w:r>
              <w:rPr>
                <w:rFonts w:hint="default" w:ascii="Times New Roman" w:hAnsi="Times New Roman" w:eastAsia="宋体" w:cs="Times New Roman"/>
                <w:i w:val="0"/>
                <w:iCs w:val="0"/>
                <w:color w:val="auto"/>
                <w:kern w:val="0"/>
                <w:sz w:val="20"/>
                <w:szCs w:val="20"/>
                <w:highlight w:val="none"/>
                <w:u w:val="none"/>
                <w:lang w:val="en-US" w:eastAsia="zh-CN" w:bidi="ar"/>
              </w:rPr>
              <w:t>以下不得分。</w:t>
            </w:r>
          </w:p>
        </w:tc>
        <w:tc>
          <w:tcPr>
            <w:tcW w:w="6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809"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社会</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效益</w:t>
            </w: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809"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809"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w:t>
            </w:r>
          </w:p>
        </w:tc>
        <w:tc>
          <w:tcPr>
            <w:tcW w:w="795" w:type="dxa"/>
            <w:gridSpan w:val="2"/>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行政</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效能</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w:t>
            </w:r>
          </w:p>
        </w:tc>
        <w:tc>
          <w:tcPr>
            <w:tcW w:w="27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Style w:val="16"/>
                <w:rFonts w:hint="default" w:ascii="Times New Roman" w:hAnsi="Times New Roman" w:eastAsia="宋体" w:cs="Times New Roman"/>
                <w:color w:val="auto"/>
                <w:highlight w:val="none"/>
                <w:lang w:val="en-US" w:eastAsia="zh-CN" w:bidi="ar"/>
              </w:rPr>
              <w:t>促进部门改进文风会风，加强经费及资产管理，推动网上办事，提高行政效率，降低行政成本效果较好的计6</w:t>
            </w:r>
            <w:r>
              <w:rPr>
                <w:rFonts w:hint="default" w:ascii="Times New Roman" w:hAnsi="Times New Roman" w:eastAsia="宋体" w:cs="Times New Roman"/>
                <w:i w:val="0"/>
                <w:iCs w:val="0"/>
                <w:color w:val="auto"/>
                <w:kern w:val="0"/>
                <w:sz w:val="20"/>
                <w:szCs w:val="20"/>
                <w:highlight w:val="none"/>
                <w:u w:val="none"/>
                <w:lang w:val="en-US" w:eastAsia="zh-CN" w:bidi="ar"/>
              </w:rPr>
              <w:t>分；一般</w:t>
            </w:r>
            <w:r>
              <w:rPr>
                <w:rStyle w:val="16"/>
                <w:rFonts w:hint="default" w:ascii="Times New Roman" w:hAnsi="Times New Roman" w:eastAsia="宋体" w:cs="Times New Roman"/>
                <w:color w:val="auto"/>
                <w:highlight w:val="none"/>
                <w:lang w:val="en-US" w:eastAsia="zh-CN" w:bidi="ar"/>
              </w:rPr>
              <w:t>3</w:t>
            </w:r>
            <w:r>
              <w:rPr>
                <w:rFonts w:hint="default" w:ascii="Times New Roman" w:hAnsi="Times New Roman" w:eastAsia="宋体" w:cs="Times New Roman"/>
                <w:i w:val="0"/>
                <w:iCs w:val="0"/>
                <w:color w:val="auto"/>
                <w:kern w:val="0"/>
                <w:sz w:val="20"/>
                <w:szCs w:val="20"/>
                <w:highlight w:val="none"/>
                <w:u w:val="none"/>
                <w:lang w:val="en-US" w:eastAsia="zh-CN" w:bidi="ar"/>
              </w:rPr>
              <w:t>分；无效果或者效果不明显</w:t>
            </w:r>
            <w:r>
              <w:rPr>
                <w:rStyle w:val="16"/>
                <w:rFonts w:hint="default" w:ascii="Times New Roman" w:hAnsi="Times New Roman" w:eastAsia="宋体" w:cs="Times New Roman"/>
                <w:color w:val="auto"/>
                <w:highlight w:val="none"/>
                <w:lang w:val="en-US" w:eastAsia="zh-CN" w:bidi="ar"/>
              </w:rPr>
              <w:t>0</w:t>
            </w:r>
            <w:r>
              <w:rPr>
                <w:rFonts w:hint="default" w:ascii="Times New Roman" w:hAnsi="Times New Roman" w:eastAsia="宋体" w:cs="Times New Roman"/>
                <w:i w:val="0"/>
                <w:iCs w:val="0"/>
                <w:color w:val="auto"/>
                <w:kern w:val="0"/>
                <w:sz w:val="20"/>
                <w:szCs w:val="20"/>
                <w:highlight w:val="none"/>
                <w:u w:val="none"/>
                <w:lang w:val="en-US" w:eastAsia="zh-CN" w:bidi="ar"/>
              </w:rPr>
              <w:t>分。</w:t>
            </w:r>
          </w:p>
        </w:tc>
        <w:tc>
          <w:tcPr>
            <w:tcW w:w="206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根据部门实际情况评定。</w:t>
            </w:r>
          </w:p>
        </w:tc>
        <w:tc>
          <w:tcPr>
            <w:tcW w:w="6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w:t>
            </w:r>
          </w:p>
        </w:tc>
        <w:tc>
          <w:tcPr>
            <w:tcW w:w="7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社会</w:t>
            </w:r>
            <w:r>
              <w:rPr>
                <w:rStyle w:val="16"/>
                <w:rFonts w:hint="default" w:ascii="Times New Roman" w:hAnsi="Times New Roman" w:eastAsia="宋体" w:cs="Times New Roman"/>
                <w:color w:val="auto"/>
                <w:highlight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公众</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或服务对象</w:t>
            </w:r>
            <w:r>
              <w:rPr>
                <w:rFonts w:hint="default" w:ascii="Times New Roman" w:hAnsi="Times New Roman" w:eastAsia="宋体" w:cs="Times New Roman"/>
                <w:i w:val="0"/>
                <w:iCs w:val="0"/>
                <w:color w:val="auto"/>
                <w:kern w:val="0"/>
                <w:sz w:val="20"/>
                <w:szCs w:val="20"/>
                <w:highlight w:val="none"/>
                <w:u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满意度</w:t>
            </w:r>
          </w:p>
        </w:tc>
        <w:tc>
          <w:tcPr>
            <w:tcW w:w="516"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6</w:t>
            </w:r>
          </w:p>
        </w:tc>
        <w:tc>
          <w:tcPr>
            <w:tcW w:w="274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90%（含）以上计</w:t>
            </w:r>
            <w:r>
              <w:rPr>
                <w:rStyle w:val="16"/>
                <w:rFonts w:hint="default" w:ascii="Times New Roman" w:hAnsi="Times New Roman" w:eastAsia="宋体" w:cs="Times New Roman"/>
                <w:color w:val="auto"/>
                <w:highlight w:val="none"/>
                <w:lang w:val="en-US" w:eastAsia="zh-CN" w:bidi="ar"/>
              </w:rPr>
              <w:t>6</w:t>
            </w:r>
            <w:r>
              <w:rPr>
                <w:rFonts w:hint="default" w:ascii="Times New Roman" w:hAnsi="Times New Roman" w:eastAsia="宋体" w:cs="Times New Roman"/>
                <w:i w:val="0"/>
                <w:iCs w:val="0"/>
                <w:color w:val="auto"/>
                <w:kern w:val="0"/>
                <w:sz w:val="20"/>
                <w:szCs w:val="20"/>
                <w:highlight w:val="none"/>
                <w:u w:val="none"/>
                <w:lang w:val="en-US" w:eastAsia="zh-CN" w:bidi="ar"/>
              </w:rPr>
              <w:t>分；</w:t>
            </w:r>
            <w:r>
              <w:rPr>
                <w:rStyle w:val="16"/>
                <w:rFonts w:hint="default" w:ascii="Times New Roman" w:hAnsi="Times New Roman" w:eastAsia="宋体" w:cs="Times New Roman"/>
                <w:color w:val="auto"/>
                <w:highlight w:val="none"/>
                <w:lang w:val="en-US" w:eastAsia="zh-CN" w:bidi="ar"/>
              </w:rPr>
              <w:br w:type="textWrapping"/>
            </w:r>
            <w:r>
              <w:rPr>
                <w:rStyle w:val="16"/>
                <w:rFonts w:hint="default" w:ascii="Times New Roman" w:hAnsi="Times New Roman" w:eastAsia="宋体" w:cs="Times New Roman"/>
                <w:color w:val="auto"/>
                <w:highlight w:val="none"/>
                <w:lang w:val="en-US" w:eastAsia="zh-CN" w:bidi="ar"/>
              </w:rPr>
              <w:t>80%</w:t>
            </w:r>
            <w:r>
              <w:rPr>
                <w:rFonts w:hint="default" w:ascii="Times New Roman" w:hAnsi="Times New Roman" w:eastAsia="宋体" w:cs="Times New Roman"/>
                <w:i w:val="0"/>
                <w:iCs w:val="0"/>
                <w:color w:val="auto"/>
                <w:kern w:val="0"/>
                <w:sz w:val="20"/>
                <w:szCs w:val="20"/>
                <w:highlight w:val="none"/>
                <w:u w:val="none"/>
                <w:lang w:val="en-US" w:eastAsia="zh-CN" w:bidi="ar"/>
              </w:rPr>
              <w:t>（含）</w:t>
            </w:r>
            <w:r>
              <w:rPr>
                <w:rStyle w:val="16"/>
                <w:rFonts w:hint="default" w:ascii="Times New Roman" w:hAnsi="Times New Roman" w:eastAsia="宋体" w:cs="Times New Roman"/>
                <w:color w:val="auto"/>
                <w:highlight w:val="none"/>
                <w:lang w:val="en-US" w:eastAsia="zh-CN" w:bidi="ar"/>
              </w:rPr>
              <w:t>-90%</w:t>
            </w:r>
            <w:r>
              <w:rPr>
                <w:rFonts w:hint="default" w:ascii="Times New Roman" w:hAnsi="Times New Roman" w:eastAsia="宋体" w:cs="Times New Roman"/>
                <w:i w:val="0"/>
                <w:iCs w:val="0"/>
                <w:color w:val="auto"/>
                <w:kern w:val="0"/>
                <w:sz w:val="20"/>
                <w:szCs w:val="20"/>
                <w:highlight w:val="none"/>
                <w:u w:val="none"/>
                <w:lang w:val="en-US" w:eastAsia="zh-CN" w:bidi="ar"/>
              </w:rPr>
              <w:t>，计</w:t>
            </w:r>
            <w:r>
              <w:rPr>
                <w:rStyle w:val="16"/>
                <w:rFonts w:hint="default" w:ascii="Times New Roman" w:hAnsi="Times New Roman" w:eastAsia="宋体" w:cs="Times New Roman"/>
                <w:color w:val="auto"/>
                <w:highlight w:val="none"/>
                <w:lang w:val="en-US" w:eastAsia="zh-CN" w:bidi="ar"/>
              </w:rPr>
              <w:t>4</w:t>
            </w:r>
            <w:r>
              <w:rPr>
                <w:rFonts w:hint="default" w:ascii="Times New Roman" w:hAnsi="Times New Roman" w:eastAsia="宋体" w:cs="Times New Roman"/>
                <w:i w:val="0"/>
                <w:iCs w:val="0"/>
                <w:color w:val="auto"/>
                <w:kern w:val="0"/>
                <w:sz w:val="20"/>
                <w:szCs w:val="20"/>
                <w:highlight w:val="none"/>
                <w:u w:val="none"/>
                <w:lang w:val="en-US" w:eastAsia="zh-CN" w:bidi="ar"/>
              </w:rPr>
              <w:t>分；</w:t>
            </w:r>
            <w:r>
              <w:rPr>
                <w:rStyle w:val="16"/>
                <w:rFonts w:hint="default" w:ascii="Times New Roman" w:hAnsi="Times New Roman" w:eastAsia="宋体" w:cs="Times New Roman"/>
                <w:color w:val="auto"/>
                <w:highlight w:val="none"/>
                <w:lang w:val="en-US" w:eastAsia="zh-CN" w:bidi="ar"/>
              </w:rPr>
              <w:br w:type="textWrapping"/>
            </w:r>
            <w:r>
              <w:rPr>
                <w:rStyle w:val="16"/>
                <w:rFonts w:hint="default" w:ascii="Times New Roman" w:hAnsi="Times New Roman" w:eastAsia="宋体" w:cs="Times New Roman"/>
                <w:color w:val="auto"/>
                <w:highlight w:val="none"/>
                <w:lang w:val="en-US" w:eastAsia="zh-CN" w:bidi="ar"/>
              </w:rPr>
              <w:t>70%</w:t>
            </w:r>
            <w:r>
              <w:rPr>
                <w:rFonts w:hint="default" w:ascii="Times New Roman" w:hAnsi="Times New Roman" w:eastAsia="宋体" w:cs="Times New Roman"/>
                <w:i w:val="0"/>
                <w:iCs w:val="0"/>
                <w:color w:val="auto"/>
                <w:kern w:val="0"/>
                <w:sz w:val="20"/>
                <w:szCs w:val="20"/>
                <w:highlight w:val="none"/>
                <w:u w:val="none"/>
                <w:lang w:val="en-US" w:eastAsia="zh-CN" w:bidi="ar"/>
              </w:rPr>
              <w:t>（含）</w:t>
            </w:r>
            <w:r>
              <w:rPr>
                <w:rStyle w:val="16"/>
                <w:rFonts w:hint="default" w:ascii="Times New Roman" w:hAnsi="Times New Roman" w:eastAsia="宋体" w:cs="Times New Roman"/>
                <w:color w:val="auto"/>
                <w:highlight w:val="none"/>
                <w:lang w:val="en-US" w:eastAsia="zh-CN" w:bidi="ar"/>
              </w:rPr>
              <w:t>-80%</w:t>
            </w:r>
            <w:r>
              <w:rPr>
                <w:rFonts w:hint="default" w:ascii="Times New Roman" w:hAnsi="Times New Roman" w:eastAsia="宋体" w:cs="Times New Roman"/>
                <w:i w:val="0"/>
                <w:iCs w:val="0"/>
                <w:color w:val="auto"/>
                <w:kern w:val="0"/>
                <w:sz w:val="20"/>
                <w:szCs w:val="20"/>
                <w:highlight w:val="none"/>
                <w:u w:val="none"/>
                <w:lang w:val="en-US" w:eastAsia="zh-CN" w:bidi="ar"/>
              </w:rPr>
              <w:t>，计</w:t>
            </w:r>
            <w:r>
              <w:rPr>
                <w:rStyle w:val="16"/>
                <w:rFonts w:hint="default" w:ascii="Times New Roman" w:hAnsi="Times New Roman" w:eastAsia="宋体" w:cs="Times New Roman"/>
                <w:color w:val="auto"/>
                <w:highlight w:val="none"/>
                <w:lang w:val="en-US" w:eastAsia="zh-CN" w:bidi="ar"/>
              </w:rPr>
              <w:t>2</w:t>
            </w:r>
            <w:r>
              <w:rPr>
                <w:rFonts w:hint="default" w:ascii="Times New Roman" w:hAnsi="Times New Roman" w:eastAsia="宋体" w:cs="Times New Roman"/>
                <w:i w:val="0"/>
                <w:iCs w:val="0"/>
                <w:color w:val="auto"/>
                <w:kern w:val="0"/>
                <w:sz w:val="20"/>
                <w:szCs w:val="20"/>
                <w:highlight w:val="none"/>
                <w:u w:val="none"/>
                <w:lang w:val="en-US" w:eastAsia="zh-CN" w:bidi="ar"/>
              </w:rPr>
              <w:t>分；</w:t>
            </w:r>
            <w:r>
              <w:rPr>
                <w:rStyle w:val="16"/>
                <w:rFonts w:hint="default" w:ascii="Times New Roman" w:hAnsi="Times New Roman" w:eastAsia="宋体" w:cs="Times New Roman"/>
                <w:color w:val="auto"/>
                <w:highlight w:val="none"/>
                <w:lang w:val="en-US" w:eastAsia="zh-CN" w:bidi="ar"/>
              </w:rPr>
              <w:br w:type="textWrapping"/>
            </w:r>
            <w:r>
              <w:rPr>
                <w:rFonts w:hint="default" w:ascii="Times New Roman" w:hAnsi="Times New Roman" w:eastAsia="宋体" w:cs="Times New Roman"/>
                <w:i w:val="0"/>
                <w:iCs w:val="0"/>
                <w:color w:val="auto"/>
                <w:kern w:val="0"/>
                <w:sz w:val="20"/>
                <w:szCs w:val="20"/>
                <w:highlight w:val="none"/>
                <w:u w:val="none"/>
                <w:lang w:val="en-US" w:eastAsia="zh-CN" w:bidi="ar"/>
              </w:rPr>
              <w:t>低于70%计0分。</w:t>
            </w:r>
          </w:p>
        </w:tc>
        <w:tc>
          <w:tcPr>
            <w:tcW w:w="2064" w:type="dxa"/>
            <w:gridSpan w:val="3"/>
            <w:vMerge w:val="restart"/>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both"/>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社会公众或服务对象是指部门（单位）履行职责而影响到的部门、群体或个人，一般采取社会调查的方式。</w:t>
            </w:r>
          </w:p>
        </w:tc>
        <w:tc>
          <w:tcPr>
            <w:tcW w:w="6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4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7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516"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0"/>
                <w:szCs w:val="20"/>
                <w:highlight w:val="none"/>
                <w:u w:val="none"/>
              </w:rPr>
            </w:pPr>
          </w:p>
        </w:tc>
        <w:tc>
          <w:tcPr>
            <w:tcW w:w="274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left"/>
              <w:rPr>
                <w:rFonts w:hint="default" w:ascii="Times New Roman" w:hAnsi="Times New Roman" w:eastAsia="宋体" w:cs="Times New Roman"/>
                <w:i w:val="0"/>
                <w:iCs w:val="0"/>
                <w:color w:val="auto"/>
                <w:sz w:val="20"/>
                <w:szCs w:val="20"/>
                <w:highlight w:val="none"/>
                <w:u w:val="none"/>
              </w:rPr>
            </w:pPr>
          </w:p>
        </w:tc>
        <w:tc>
          <w:tcPr>
            <w:tcW w:w="2064" w:type="dxa"/>
            <w:gridSpan w:val="3"/>
            <w:vMerge w:val="continue"/>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center"/>
              <w:rPr>
                <w:rFonts w:hint="default" w:ascii="Times New Roman" w:hAnsi="Times New Roman" w:eastAsia="宋体" w:cs="Times New Roman"/>
                <w:i w:val="0"/>
                <w:iCs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67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合计</w:t>
            </w:r>
          </w:p>
        </w:tc>
        <w:tc>
          <w:tcPr>
            <w:tcW w:w="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0"/>
                <w:szCs w:val="20"/>
                <w:highlight w:val="none"/>
                <w:u w:val="none"/>
              </w:rPr>
            </w:pPr>
            <w:r>
              <w:rPr>
                <w:rFonts w:hint="default" w:ascii="Times New Roman" w:hAnsi="Times New Roman" w:eastAsia="宋体" w:cs="Times New Roman"/>
                <w:i w:val="0"/>
                <w:iCs w:val="0"/>
                <w:color w:val="auto"/>
                <w:kern w:val="0"/>
                <w:sz w:val="20"/>
                <w:szCs w:val="20"/>
                <w:highlight w:val="none"/>
                <w:u w:val="none"/>
                <w:lang w:val="en-US" w:eastAsia="zh-CN" w:bidi="ar"/>
              </w:rPr>
              <w:t>100</w:t>
            </w:r>
          </w:p>
        </w:tc>
        <w:tc>
          <w:tcPr>
            <w:tcW w:w="4809" w:type="dxa"/>
            <w:gridSpan w:val="7"/>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jc w:val="both"/>
              <w:rPr>
                <w:rFonts w:hint="default" w:ascii="Times New Roman" w:hAnsi="Times New Roman" w:eastAsia="宋体" w:cs="Times New Roman"/>
                <w:i w:val="0"/>
                <w:iCs w:val="0"/>
                <w:color w:val="auto"/>
                <w:sz w:val="20"/>
                <w:szCs w:val="20"/>
                <w:highlight w:val="none"/>
                <w:u w:val="none"/>
              </w:rPr>
            </w:pPr>
          </w:p>
        </w:tc>
        <w:tc>
          <w:tcPr>
            <w:tcW w:w="6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98</w:t>
            </w:r>
          </w:p>
        </w:tc>
      </w:tr>
    </w:tbl>
    <w:p>
      <w:pPr>
        <w:pStyle w:val="4"/>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color w:val="auto"/>
          <w:sz w:val="30"/>
          <w:szCs w:val="30"/>
          <w:highlight w:val="none"/>
          <w:lang w:eastAsia="zh-CN"/>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lang w:eastAsia="zh-CN"/>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eastAsia="宋体" w:cs="Times New Roman"/>
          <w:sz w:val="30"/>
          <w:szCs w:val="30"/>
          <w:highlight w:val="none"/>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rPr>
      </w:pPr>
    </w:p>
    <w:p>
      <w:pPr>
        <w:keepNext w:val="0"/>
        <w:keepLines w:val="0"/>
        <w:pageBreakBefore w:val="0"/>
        <w:widowControl w:val="0"/>
        <w:kinsoku/>
        <w:wordWrap/>
        <w:overflowPunct/>
        <w:topLinePunct w:val="0"/>
        <w:autoSpaceDE/>
        <w:autoSpaceDN/>
        <w:bidi w:val="0"/>
        <w:adjustRightInd/>
        <w:snapToGrid/>
        <w:rPr>
          <w:rFonts w:hint="default" w:ascii="Times New Roman" w:hAnsi="Times New Roman" w:cs="Times New Roman"/>
          <w:highlight w:val="none"/>
        </w:rPr>
      </w:pPr>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DejaVu Sans">
    <w:altName w:val="Segoe Print"/>
    <w:panose1 w:val="020B0603030804020204"/>
    <w:charset w:val="00"/>
    <w:family w:val="auto"/>
    <w:pitch w:val="default"/>
    <w:sig w:usb0="00000000" w:usb1="00000000" w:usb2="0A246029" w:usb3="0400200C" w:csb0="600001FF" w:csb1="DFFF0000"/>
  </w:font>
  <w:font w:name="方正小标宋简体">
    <w:panose1 w:val="03000509000000000000"/>
    <w:charset w:val="86"/>
    <w:family w:val="roma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hZmE4M2IyN2IwNGIyZmUzYWQyZDE0MTkyODI5Y2IifQ=="/>
    <w:docVar w:name="KSO_WPS_MARK_KEY" w:val="7cd1df98-2efb-4a6d-b75e-8f1c44dd0acb"/>
  </w:docVars>
  <w:rsids>
    <w:rsidRoot w:val="00000000"/>
    <w:rsid w:val="01A52705"/>
    <w:rsid w:val="04214D56"/>
    <w:rsid w:val="06AF0471"/>
    <w:rsid w:val="19EA5483"/>
    <w:rsid w:val="25956469"/>
    <w:rsid w:val="26223675"/>
    <w:rsid w:val="30F65957"/>
    <w:rsid w:val="31932568"/>
    <w:rsid w:val="3F945DF4"/>
    <w:rsid w:val="42A72228"/>
    <w:rsid w:val="44064E36"/>
    <w:rsid w:val="48A63AC1"/>
    <w:rsid w:val="49502C48"/>
    <w:rsid w:val="583B7BD9"/>
    <w:rsid w:val="5A02006D"/>
    <w:rsid w:val="6A9C6F1F"/>
    <w:rsid w:val="6EFF0BE2"/>
    <w:rsid w:val="761614BE"/>
    <w:rsid w:val="778A226E"/>
    <w:rsid w:val="790B3D52"/>
    <w:rsid w:val="7E3A287F"/>
    <w:rsid w:val="7F5B7E5B"/>
    <w:rsid w:val="FFAF13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10">
    <w:name w:val="Default Paragraph Font"/>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ind w:firstLine="420"/>
    </w:pPr>
    <w:rPr>
      <w:szCs w:val="20"/>
    </w:rPr>
  </w:style>
  <w:style w:type="paragraph" w:styleId="3">
    <w:name w:val="Body Text"/>
    <w:basedOn w:val="1"/>
    <w:next w:val="4"/>
    <w:autoRedefine/>
    <w:qFormat/>
    <w:uiPriority w:val="0"/>
    <w:pPr>
      <w:jc w:val="center"/>
    </w:pPr>
    <w:rPr>
      <w:rFonts w:ascii="Times New Roman" w:hAnsi="Times New Roman" w:eastAsia="宋体" w:cs="Times New Roman"/>
      <w:b/>
      <w:bCs/>
      <w:sz w:val="72"/>
    </w:rPr>
  </w:style>
  <w:style w:type="paragraph" w:styleId="4">
    <w:name w:val="toc 5"/>
    <w:basedOn w:val="1"/>
    <w:next w:val="1"/>
    <w:autoRedefine/>
    <w:qFormat/>
    <w:uiPriority w:val="0"/>
    <w:pPr>
      <w:ind w:left="1680" w:leftChars="800"/>
    </w:pPr>
    <w:rPr>
      <w:rFonts w:ascii="等线" w:hAnsi="等线" w:eastAsia="等线" w:cs="Times New Roman"/>
      <w:szCs w:val="22"/>
    </w:rPr>
  </w:style>
  <w:style w:type="paragraph" w:styleId="5">
    <w:name w:val="Body Text Indent"/>
    <w:basedOn w:val="1"/>
    <w:autoRedefine/>
    <w:qFormat/>
    <w:uiPriority w:val="0"/>
    <w:pPr>
      <w:spacing w:after="120"/>
      <w:ind w:left="420" w:leftChars="200"/>
    </w:pPr>
    <w:rPr>
      <w:rFonts w:ascii="Times New Roman" w:hAnsi="Times New Roman" w:eastAsia="宋体" w:cs="Times New Roman"/>
    </w:rPr>
  </w:style>
  <w:style w:type="paragraph" w:styleId="6">
    <w:name w:val="endnote text"/>
    <w:basedOn w:val="1"/>
    <w:next w:val="3"/>
    <w:autoRedefine/>
    <w:qFormat/>
    <w:uiPriority w:val="0"/>
    <w:rPr>
      <w:rFonts w:ascii="Times New Roman" w:hAnsi="Times New Roman"/>
    </w:rPr>
  </w:style>
  <w:style w:type="paragraph" w:styleId="7">
    <w:name w:val="Normal (Web)"/>
    <w:basedOn w:val="1"/>
    <w:autoRedefine/>
    <w:qFormat/>
    <w:uiPriority w:val="0"/>
    <w:pPr>
      <w:spacing w:beforeAutospacing="1" w:afterAutospacing="1"/>
      <w:jc w:val="left"/>
    </w:pPr>
    <w:rPr>
      <w:rFonts w:cs="Times New Roman"/>
      <w:kern w:val="0"/>
      <w:sz w:val="24"/>
    </w:rPr>
  </w:style>
  <w:style w:type="paragraph" w:styleId="8">
    <w:name w:val="Body Text First Indent 2"/>
    <w:basedOn w:val="5"/>
    <w:autoRedefine/>
    <w:qFormat/>
    <w:uiPriority w:val="0"/>
    <w:pPr>
      <w:ind w:firstLine="420"/>
      <w:jc w:val="left"/>
    </w:pPr>
    <w:rPr>
      <w:rFonts w:ascii="Times New Roman" w:hAnsi="Times New Roman" w:eastAsia="宋体" w:cs="Times New Roman"/>
      <w:sz w:val="32"/>
      <w:szCs w:val="32"/>
    </w:rPr>
  </w:style>
  <w:style w:type="character" w:customStyle="1" w:styleId="11">
    <w:name w:val="font41"/>
    <w:basedOn w:val="10"/>
    <w:autoRedefine/>
    <w:qFormat/>
    <w:uiPriority w:val="0"/>
    <w:rPr>
      <w:rFonts w:ascii="黑体" w:hAnsi="宋体" w:eastAsia="黑体" w:cs="黑体"/>
      <w:color w:val="000000"/>
      <w:sz w:val="20"/>
      <w:szCs w:val="20"/>
      <w:u w:val="none"/>
    </w:rPr>
  </w:style>
  <w:style w:type="character" w:customStyle="1" w:styleId="12">
    <w:name w:val="font01"/>
    <w:basedOn w:val="10"/>
    <w:qFormat/>
    <w:uiPriority w:val="0"/>
    <w:rPr>
      <w:rFonts w:hint="eastAsia" w:ascii="宋体" w:hAnsi="宋体" w:eastAsia="宋体" w:cs="宋体"/>
      <w:color w:val="000000"/>
      <w:sz w:val="20"/>
      <w:szCs w:val="20"/>
      <w:u w:val="none"/>
    </w:rPr>
  </w:style>
  <w:style w:type="character" w:customStyle="1" w:styleId="13">
    <w:name w:val="font51"/>
    <w:basedOn w:val="10"/>
    <w:autoRedefine/>
    <w:qFormat/>
    <w:uiPriority w:val="0"/>
    <w:rPr>
      <w:rFonts w:hint="eastAsia" w:ascii="宋体" w:hAnsi="宋体" w:eastAsia="宋体" w:cs="宋体"/>
      <w:b/>
      <w:bCs/>
      <w:color w:val="000000"/>
      <w:sz w:val="20"/>
      <w:szCs w:val="20"/>
      <w:u w:val="none"/>
    </w:rPr>
  </w:style>
  <w:style w:type="character" w:customStyle="1" w:styleId="14">
    <w:name w:val="font61"/>
    <w:basedOn w:val="10"/>
    <w:autoRedefine/>
    <w:qFormat/>
    <w:uiPriority w:val="0"/>
    <w:rPr>
      <w:rFonts w:hint="default" w:ascii="Times New Roman" w:hAnsi="Times New Roman" w:cs="Times New Roman"/>
      <w:color w:val="000000"/>
      <w:sz w:val="20"/>
      <w:szCs w:val="20"/>
      <w:u w:val="none"/>
    </w:rPr>
  </w:style>
  <w:style w:type="character" w:customStyle="1" w:styleId="15">
    <w:name w:val="font91"/>
    <w:basedOn w:val="10"/>
    <w:autoRedefine/>
    <w:qFormat/>
    <w:uiPriority w:val="0"/>
    <w:rPr>
      <w:rFonts w:ascii="DejaVu Sans" w:hAnsi="DejaVu Sans" w:eastAsia="DejaVu Sans" w:cs="DejaVu Sans"/>
      <w:color w:val="000000"/>
      <w:sz w:val="28"/>
      <w:szCs w:val="28"/>
      <w:u w:val="none"/>
    </w:rPr>
  </w:style>
  <w:style w:type="character" w:customStyle="1" w:styleId="16">
    <w:name w:val="font31"/>
    <w:basedOn w:val="10"/>
    <w:autoRedefine/>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5344</Words>
  <Characters>5824</Characters>
  <Lines>0</Lines>
  <Paragraphs>0</Paragraphs>
  <TotalTime>18</TotalTime>
  <ScaleCrop>false</ScaleCrop>
  <LinksUpToDate>false</LinksUpToDate>
  <CharactersWithSpaces>6286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2023-04-06T15:11:00Z</dcterms:created>
  <dc:creator>叶</dc:creator>
  <cp:lastModifiedBy>绿巨人</cp:lastModifiedBy>
  <cp:lastPrinted>2023-06-30T12:26:00Z</cp:lastPrinted>
  <dcterms:modified xsi:type="dcterms:W3CDTF">2024-05-29T01:33:46Z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FE8F14C2ADD1DC81320308659CE65EA1</vt:lpwstr>
  </property>
</Properties>
</file>