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beforeAutospacing="0" w:afterAutospacing="0" w:line="560" w:lineRule="exact"/>
        <w:ind w:left="2088" w:hanging="1285" w:hangingChars="400"/>
        <w:textAlignment w:val="auto"/>
        <w:rPr>
          <w:rFonts w:hint="default" w:ascii="Times New Roman" w:hAnsi="Times New Roman" w:eastAsia="仿宋_GB2312" w:cs="Times New Roman"/>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z w:val="44"/>
          <w:szCs w:val="44"/>
          <w:lang w:eastAsia="zh-CN"/>
        </w:rPr>
        <w:t>宁乡市金融事务中心</w:t>
      </w:r>
    </w:p>
    <w:p>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lang w:val="en-US" w:eastAsia="zh-CN"/>
        </w:rPr>
        <w:t>2020年</w:t>
      </w:r>
      <w:r>
        <w:rPr>
          <w:rFonts w:hint="default" w:ascii="Times New Roman" w:hAnsi="Times New Roman" w:eastAsia="方正小标宋_GBK" w:cs="Times New Roman"/>
          <w:b w:val="0"/>
          <w:bCs w:val="0"/>
          <w:sz w:val="44"/>
          <w:szCs w:val="44"/>
        </w:rPr>
        <w:t>部门整体支出绩效自评报告</w:t>
      </w:r>
    </w:p>
    <w:p>
      <w:pPr>
        <w:keepNext w:val="0"/>
        <w:keepLines w:val="0"/>
        <w:pageBreakBefore w:val="0"/>
        <w:kinsoku/>
        <w:wordWrap/>
        <w:overflowPunct/>
        <w:topLinePunct w:val="0"/>
        <w:autoSpaceDE/>
        <w:autoSpaceDN/>
        <w:bidi w:val="0"/>
        <w:spacing w:beforeAutospacing="0" w:afterAutospacing="0" w:line="560" w:lineRule="exact"/>
        <w:ind w:left="2088" w:hanging="1285" w:hangingChars="400"/>
        <w:textAlignment w:val="auto"/>
        <w:rPr>
          <w:rFonts w:hint="default" w:ascii="Times New Roman" w:hAnsi="Times New Roman" w:eastAsia="仿宋_GB2312" w:cs="Times New Roman"/>
          <w:b/>
          <w:bCs/>
          <w:sz w:val="32"/>
          <w:szCs w:val="32"/>
          <w:lang w:eastAsia="zh-CN"/>
        </w:rPr>
      </w:pP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一、部门概况</w:t>
      </w:r>
    </w:p>
    <w:p>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楷体_GB2312" w:cs="Times New Roman"/>
          <w:b/>
          <w:bCs/>
          <w:sz w:val="32"/>
          <w:szCs w:val="32"/>
          <w:lang w:eastAsia="zh-CN"/>
        </w:rPr>
      </w:pPr>
      <w:r>
        <w:rPr>
          <w:rFonts w:hint="default" w:ascii="Times New Roman" w:hAnsi="Times New Roman" w:eastAsia="楷体_GB2312" w:cs="Times New Roman"/>
          <w:b/>
          <w:bCs/>
          <w:sz w:val="32"/>
          <w:szCs w:val="32"/>
          <w:lang w:val="en-US" w:eastAsia="zh-CN"/>
        </w:rPr>
        <w:t>（一）</w:t>
      </w:r>
      <w:r>
        <w:rPr>
          <w:rFonts w:hint="default" w:ascii="Times New Roman" w:hAnsi="Times New Roman" w:eastAsia="楷体_GB2312" w:cs="Times New Roman"/>
          <w:b/>
          <w:bCs/>
          <w:sz w:val="32"/>
          <w:szCs w:val="32"/>
          <w:lang w:eastAsia="zh-CN"/>
        </w:rPr>
        <w:t>部门基本情况</w:t>
      </w:r>
    </w:p>
    <w:p>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lang w:val="en-US" w:eastAsia="zh-CN"/>
        </w:rPr>
        <w:t>(1)</w:t>
      </w:r>
      <w:r>
        <w:rPr>
          <w:rFonts w:hint="default" w:ascii="Times New Roman" w:hAnsi="Times New Roman" w:eastAsia="仿宋_GB2312" w:cs="Times New Roman"/>
          <w:b/>
          <w:bCs/>
          <w:sz w:val="32"/>
          <w:szCs w:val="32"/>
        </w:rPr>
        <w:t>职能职责：</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执行国家有关金融工作的方针政策和法律法规，协助行政主管部门草拟全市金融业发展中长期发展规划并配合实施。</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研究分析宏观金融形势、金融政策和全市金融运行情况，协助行政主管部门草拟引导金融业服务地方经济社会发展的建议措施。</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负责联系、引进、协调、服务各类金融机构。</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促进政府与金融机构的合作、金融机构和企业的对接，引导、协调和鼓励金融机构加大对全市经济社会发展的支持力度。</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推进全市多层次资本市场建设与发展，负责全市企业上市后备资源培育，推进全市企业挂牌、上市、并购等工作。</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协助行政主管部门维护辖区内金融秩序和金融安全。</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协助行政主管部门推动全市保险体系的建设，促进全市保险市场规范化发展。</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完成市委、市人民政府交办的其他工作任务。</w:t>
      </w:r>
    </w:p>
    <w:p>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(2)</w:t>
      </w:r>
      <w:r>
        <w:rPr>
          <w:rFonts w:hint="default" w:ascii="Times New Roman" w:hAnsi="Times New Roman" w:eastAsia="仿宋_GB2312" w:cs="Times New Roman"/>
          <w:b/>
          <w:bCs/>
          <w:sz w:val="32"/>
          <w:szCs w:val="32"/>
        </w:rPr>
        <w:t xml:space="preserve">机构设置： </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根据《宁乡市人民政府机构改革方案的实施意见》（宁办【</w:t>
      </w:r>
      <w:r>
        <w:rPr>
          <w:rFonts w:hint="default" w:ascii="Times New Roman" w:hAnsi="Times New Roman" w:eastAsia="仿宋_GB2312" w:cs="Times New Roman"/>
          <w:sz w:val="32"/>
          <w:szCs w:val="32"/>
          <w:lang w:eastAsia="zh-CN"/>
        </w:rPr>
        <w:t>20</w:t>
      </w: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】47号）文件的要求，市委、市政府组建宁乡市金融事务中心，属市人民政府直属事业单位。核定编制</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名，在编人员</w:t>
      </w:r>
      <w:r>
        <w:rPr>
          <w:rFonts w:hint="eastAsia" w:ascii="Times New Roman" w:hAnsi="Times New Roman" w:eastAsia="仿宋_GB2312" w:cs="Times New Roman"/>
          <w:b/>
          <w:bCs/>
          <w:sz w:val="32"/>
          <w:szCs w:val="32"/>
          <w:lang w:val="en-US" w:eastAsia="zh-CN"/>
        </w:rPr>
        <w:t>9</w:t>
      </w:r>
      <w:r>
        <w:rPr>
          <w:rFonts w:hint="default" w:ascii="Times New Roman" w:hAnsi="Times New Roman" w:eastAsia="仿宋_GB2312" w:cs="Times New Roman"/>
          <w:sz w:val="32"/>
          <w:szCs w:val="32"/>
        </w:rPr>
        <w:t>人，实有在岗人员11人，其中编制外合同聘用2名。设综合科、发展科、服务科三个内设科室，无二级机构。</w:t>
      </w:r>
    </w:p>
    <w:p>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lang w:eastAsia="zh-CN"/>
        </w:rPr>
        <w:t>年度重点工作计划：</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进一步加强与辖区内金融机构的战略合作，引导银行机构新增信贷投放100亿元以上，其中工业企业新增10亿元以上，保障金融供给；用好用活定向降准、支农支小再贷款、财政贴息等政策，降低企业融资成本；做好银企对接、风险范防和不良资产处置等工作。</w:t>
      </w:r>
    </w:p>
    <w:p>
      <w:pPr>
        <w:pStyle w:val="4"/>
        <w:keepNext w:val="0"/>
        <w:keepLines w:val="0"/>
        <w:pageBreakBefore w:val="0"/>
        <w:widowControl/>
        <w:numPr>
          <w:ilvl w:val="0"/>
          <w:numId w:val="0"/>
        </w:numPr>
        <w:suppressLineNumbers w:val="0"/>
        <w:kinsoku/>
        <w:wordWrap/>
        <w:overflowPunct/>
        <w:topLinePunct w:val="0"/>
        <w:autoSpaceDE/>
        <w:autoSpaceDN/>
        <w:bidi w:val="0"/>
        <w:spacing w:beforeAutospacing="0" w:afterAutospacing="0" w:line="560" w:lineRule="exact"/>
        <w:ind w:right="0" w:rightChars="0"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lang w:val="en-US" w:eastAsia="zh-CN"/>
        </w:rPr>
        <w:t>(4)</w:t>
      </w:r>
      <w:r>
        <w:rPr>
          <w:rFonts w:hint="default" w:ascii="Times New Roman" w:hAnsi="Times New Roman" w:eastAsia="仿宋_GB2312" w:cs="Times New Roman"/>
          <w:b/>
          <w:bCs/>
          <w:sz w:val="32"/>
          <w:szCs w:val="32"/>
        </w:rPr>
        <w:t>部门整体支出规模、使用方向</w:t>
      </w:r>
      <w:r>
        <w:rPr>
          <w:rFonts w:hint="default" w:ascii="Times New Roman" w:hAnsi="Times New Roman" w:eastAsia="仿宋_GB2312" w:cs="Times New Roman"/>
          <w:b/>
          <w:bCs/>
          <w:sz w:val="32"/>
          <w:szCs w:val="32"/>
          <w:lang w:eastAsia="zh-CN"/>
        </w:rPr>
        <w:t>和</w:t>
      </w:r>
      <w:r>
        <w:rPr>
          <w:rFonts w:hint="default" w:ascii="Times New Roman" w:hAnsi="Times New Roman" w:eastAsia="仿宋_GB2312" w:cs="Times New Roman"/>
          <w:b/>
          <w:bCs/>
          <w:sz w:val="32"/>
          <w:szCs w:val="32"/>
        </w:rPr>
        <w:t>主要内容</w:t>
      </w:r>
      <w:r>
        <w:rPr>
          <w:rFonts w:hint="default" w:ascii="Times New Roman" w:hAnsi="Times New Roman" w:eastAsia="仿宋_GB2312" w:cs="Times New Roman"/>
          <w:b/>
          <w:bCs/>
          <w:sz w:val="32"/>
          <w:szCs w:val="32"/>
          <w:lang w:eastAsia="zh-CN"/>
        </w:rPr>
        <w:t>、</w:t>
      </w:r>
      <w:r>
        <w:rPr>
          <w:rFonts w:hint="default" w:ascii="Times New Roman" w:hAnsi="Times New Roman" w:eastAsia="仿宋_GB2312" w:cs="Times New Roman"/>
          <w:b/>
          <w:bCs/>
          <w:sz w:val="32"/>
          <w:szCs w:val="32"/>
        </w:rPr>
        <w:t>涉及范围</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年市金融事务中心本年收入为</w:t>
      </w:r>
      <w:r>
        <w:rPr>
          <w:rFonts w:hint="default" w:ascii="Times New Roman" w:hAnsi="Times New Roman" w:eastAsia="仿宋_GB2312" w:cs="Times New Roman"/>
          <w:sz w:val="32"/>
          <w:szCs w:val="32"/>
          <w:lang w:val="en-US" w:eastAsia="zh-CN"/>
        </w:rPr>
        <w:t>1340.5486</w:t>
      </w:r>
      <w:r>
        <w:rPr>
          <w:rFonts w:hint="default" w:ascii="Times New Roman" w:hAnsi="Times New Roman" w:eastAsia="仿宋_GB2312" w:cs="Times New Roman"/>
          <w:sz w:val="32"/>
          <w:szCs w:val="32"/>
        </w:rPr>
        <w:t>万元，其中财政拨款收入</w:t>
      </w:r>
      <w:r>
        <w:rPr>
          <w:rFonts w:hint="default" w:ascii="Times New Roman" w:hAnsi="Times New Roman" w:eastAsia="仿宋_GB2312" w:cs="Times New Roman"/>
          <w:sz w:val="32"/>
          <w:szCs w:val="32"/>
          <w:lang w:val="en-US" w:eastAsia="zh-CN"/>
        </w:rPr>
        <w:t>1340.5486</w:t>
      </w:r>
      <w:r>
        <w:rPr>
          <w:rFonts w:hint="default" w:ascii="Times New Roman" w:hAnsi="Times New Roman" w:eastAsia="仿宋_GB2312" w:cs="Times New Roman"/>
          <w:sz w:val="32"/>
          <w:szCs w:val="32"/>
        </w:rPr>
        <w:t>万元，占总收入的</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％，其他收入</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万元，占总收入的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％；本年支出</w:t>
      </w:r>
      <w:r>
        <w:rPr>
          <w:rFonts w:hint="default" w:ascii="Times New Roman" w:hAnsi="Times New Roman" w:eastAsia="仿宋_GB2312" w:cs="Times New Roman"/>
          <w:sz w:val="32"/>
          <w:szCs w:val="32"/>
          <w:lang w:val="en-US" w:eastAsia="zh-CN"/>
        </w:rPr>
        <w:t>1340.5486</w:t>
      </w:r>
      <w:r>
        <w:rPr>
          <w:rFonts w:hint="default" w:ascii="Times New Roman" w:hAnsi="Times New Roman" w:eastAsia="仿宋_GB2312" w:cs="Times New Roman"/>
          <w:sz w:val="32"/>
          <w:szCs w:val="32"/>
        </w:rPr>
        <w:t>万元，按项目功能分类，社会保障和就业支出</w:t>
      </w:r>
      <w:r>
        <w:rPr>
          <w:rFonts w:hint="default" w:ascii="Times New Roman" w:hAnsi="Times New Roman" w:eastAsia="仿宋_GB2312" w:cs="Times New Roman"/>
          <w:sz w:val="32"/>
          <w:szCs w:val="32"/>
          <w:lang w:val="en-US" w:eastAsia="zh-CN"/>
        </w:rPr>
        <w:t>11.88</w:t>
      </w:r>
      <w:r>
        <w:rPr>
          <w:rFonts w:hint="default" w:ascii="Times New Roman" w:hAnsi="Times New Roman" w:eastAsia="仿宋_GB2312" w:cs="Times New Roman"/>
          <w:sz w:val="32"/>
          <w:szCs w:val="32"/>
        </w:rPr>
        <w:t>万元，占总支出的</w:t>
      </w:r>
      <w:r>
        <w:rPr>
          <w:rFonts w:hint="default" w:ascii="Times New Roman" w:hAnsi="Times New Roman" w:eastAsia="仿宋_GB2312" w:cs="Times New Roman"/>
          <w:sz w:val="32"/>
          <w:szCs w:val="32"/>
          <w:lang w:val="en-US" w:eastAsia="zh-CN"/>
        </w:rPr>
        <w:t>0.88</w:t>
      </w:r>
      <w:r>
        <w:rPr>
          <w:rFonts w:hint="default" w:ascii="Times New Roman" w:hAnsi="Times New Roman" w:eastAsia="仿宋_GB2312" w:cs="Times New Roman"/>
          <w:sz w:val="32"/>
          <w:szCs w:val="32"/>
        </w:rPr>
        <w:t>％，卫生健康支出</w:t>
      </w:r>
      <w:r>
        <w:rPr>
          <w:rFonts w:hint="default" w:ascii="Times New Roman" w:hAnsi="Times New Roman" w:eastAsia="仿宋_GB2312" w:cs="Times New Roman"/>
          <w:sz w:val="32"/>
          <w:szCs w:val="32"/>
          <w:lang w:val="en-US" w:eastAsia="zh-CN"/>
        </w:rPr>
        <w:t>8.01</w:t>
      </w:r>
      <w:r>
        <w:rPr>
          <w:rFonts w:hint="default" w:ascii="Times New Roman" w:hAnsi="Times New Roman" w:eastAsia="仿宋_GB2312" w:cs="Times New Roman"/>
          <w:sz w:val="32"/>
          <w:szCs w:val="32"/>
        </w:rPr>
        <w:t>万元，占总支出的</w:t>
      </w:r>
      <w:r>
        <w:rPr>
          <w:rFonts w:hint="default" w:ascii="Times New Roman" w:hAnsi="Times New Roman" w:eastAsia="仿宋_GB2312" w:cs="Times New Roman"/>
          <w:sz w:val="32"/>
          <w:szCs w:val="32"/>
          <w:lang w:val="en-US" w:eastAsia="zh-CN"/>
        </w:rPr>
        <w:t>0.59</w:t>
      </w:r>
      <w:r>
        <w:rPr>
          <w:rFonts w:hint="default" w:ascii="Times New Roman" w:hAnsi="Times New Roman" w:eastAsia="仿宋_GB2312" w:cs="Times New Roman"/>
          <w:sz w:val="32"/>
          <w:szCs w:val="32"/>
        </w:rPr>
        <w:t>％，农林水支出</w:t>
      </w:r>
      <w:r>
        <w:rPr>
          <w:rFonts w:hint="default" w:ascii="Times New Roman" w:hAnsi="Times New Roman" w:eastAsia="仿宋_GB2312" w:cs="Times New Roman"/>
          <w:sz w:val="32"/>
          <w:szCs w:val="32"/>
          <w:lang w:val="en-US" w:eastAsia="zh-CN"/>
        </w:rPr>
        <w:t>152</w:t>
      </w:r>
      <w:r>
        <w:rPr>
          <w:rFonts w:hint="default" w:ascii="Times New Roman" w:hAnsi="Times New Roman" w:eastAsia="仿宋_GB2312" w:cs="Times New Roman"/>
          <w:sz w:val="32"/>
          <w:szCs w:val="32"/>
        </w:rPr>
        <w:t>万元，占总支出的</w:t>
      </w:r>
      <w:r>
        <w:rPr>
          <w:rFonts w:hint="default" w:ascii="Times New Roman" w:hAnsi="Times New Roman" w:eastAsia="仿宋_GB2312" w:cs="Times New Roman"/>
          <w:sz w:val="32"/>
          <w:szCs w:val="32"/>
          <w:lang w:val="en-US" w:eastAsia="zh-CN"/>
        </w:rPr>
        <w:t>11.35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，资源勘探工业信息等支出</w:t>
      </w:r>
      <w:r>
        <w:rPr>
          <w:rFonts w:hint="default" w:ascii="Times New Roman" w:hAnsi="Times New Roman" w:eastAsia="仿宋_GB2312" w:cs="Times New Roman"/>
          <w:sz w:val="32"/>
          <w:szCs w:val="32"/>
          <w:lang w:val="en-US" w:eastAsia="zh-CN"/>
        </w:rPr>
        <w:t>721.746万元，</w:t>
      </w:r>
      <w:r>
        <w:rPr>
          <w:rFonts w:hint="default" w:ascii="Times New Roman" w:hAnsi="Times New Roman" w:eastAsia="仿宋_GB2312" w:cs="Times New Roman"/>
          <w:sz w:val="32"/>
          <w:szCs w:val="32"/>
        </w:rPr>
        <w:t>占总支出的</w:t>
      </w:r>
      <w:r>
        <w:rPr>
          <w:rFonts w:hint="default" w:ascii="Times New Roman" w:hAnsi="Times New Roman" w:eastAsia="仿宋_GB2312" w:cs="Times New Roman"/>
          <w:sz w:val="32"/>
          <w:szCs w:val="32"/>
          <w:lang w:val="en-US" w:eastAsia="zh-CN"/>
        </w:rPr>
        <w:t>53.84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金融支出438.9026万元</w:t>
      </w:r>
      <w:r>
        <w:rPr>
          <w:rFonts w:hint="default" w:ascii="Times New Roman" w:hAnsi="Times New Roman" w:eastAsia="仿宋_GB2312" w:cs="Times New Roman"/>
          <w:sz w:val="32"/>
          <w:szCs w:val="32"/>
        </w:rPr>
        <w:t>占总支出的</w:t>
      </w:r>
      <w:r>
        <w:rPr>
          <w:rFonts w:hint="default" w:ascii="Times New Roman" w:hAnsi="Times New Roman" w:eastAsia="仿宋_GB2312" w:cs="Times New Roman"/>
          <w:sz w:val="32"/>
          <w:szCs w:val="32"/>
          <w:lang w:val="en-US" w:eastAsia="zh-CN"/>
        </w:rPr>
        <w:t>32.74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，住房保障支出8.01</w:t>
      </w:r>
      <w:r>
        <w:rPr>
          <w:rFonts w:hint="default" w:ascii="Times New Roman" w:hAnsi="Times New Roman" w:eastAsia="仿宋_GB2312" w:cs="Times New Roman"/>
          <w:sz w:val="32"/>
          <w:szCs w:val="32"/>
        </w:rPr>
        <w:t>占总支出的</w:t>
      </w:r>
      <w:r>
        <w:rPr>
          <w:rFonts w:hint="default" w:ascii="Times New Roman" w:hAnsi="Times New Roman" w:eastAsia="仿宋_GB2312" w:cs="Times New Roman"/>
          <w:sz w:val="32"/>
          <w:szCs w:val="32"/>
          <w:lang w:val="en-US" w:eastAsia="zh-CN"/>
        </w:rPr>
        <w:t>0.6</w:t>
      </w:r>
      <w:r>
        <w:rPr>
          <w:rFonts w:hint="default" w:ascii="Times New Roman" w:hAnsi="Times New Roman" w:eastAsia="仿宋_GB2312" w:cs="Times New Roman"/>
          <w:sz w:val="32"/>
          <w:szCs w:val="32"/>
        </w:rPr>
        <w:t>％。按支出性质区分，基本支出</w:t>
      </w:r>
      <w:r>
        <w:rPr>
          <w:rFonts w:hint="default" w:ascii="Times New Roman" w:hAnsi="Times New Roman" w:eastAsia="仿宋_GB2312" w:cs="Times New Roman"/>
          <w:sz w:val="32"/>
          <w:szCs w:val="32"/>
          <w:lang w:val="en-US" w:eastAsia="zh-CN"/>
        </w:rPr>
        <w:t>17</w:t>
      </w:r>
      <w:r>
        <w:rPr>
          <w:rFonts w:hint="eastAsia" w:ascii="Times New Roman" w:hAnsi="Times New Roman" w:eastAsia="仿宋_GB2312" w:cs="Times New Roman"/>
          <w:sz w:val="32"/>
          <w:szCs w:val="32"/>
          <w:lang w:val="en-US" w:eastAsia="zh-CN"/>
        </w:rPr>
        <w:t>6.8198</w:t>
      </w:r>
      <w:r>
        <w:rPr>
          <w:rFonts w:hint="default" w:ascii="Times New Roman" w:hAnsi="Times New Roman" w:eastAsia="仿宋_GB2312" w:cs="Times New Roman"/>
          <w:sz w:val="32"/>
          <w:szCs w:val="32"/>
        </w:rPr>
        <w:t>万元，占全年总支出</w:t>
      </w:r>
      <w:r>
        <w:rPr>
          <w:rFonts w:hint="eastAsia" w:ascii="Times New Roman" w:hAnsi="Times New Roman" w:eastAsia="仿宋_GB2312" w:cs="Times New Roman"/>
          <w:sz w:val="32"/>
          <w:szCs w:val="32"/>
          <w:lang w:val="en-US" w:eastAsia="zh-CN"/>
        </w:rPr>
        <w:t>13.19</w:t>
      </w:r>
      <w:r>
        <w:rPr>
          <w:rFonts w:hint="default"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1163.7288</w:t>
      </w:r>
      <w:r>
        <w:rPr>
          <w:rFonts w:hint="default" w:ascii="Times New Roman" w:hAnsi="Times New Roman" w:eastAsia="仿宋_GB2312" w:cs="Times New Roman"/>
          <w:sz w:val="32"/>
          <w:szCs w:val="32"/>
        </w:rPr>
        <w:t>万元，占全年总支出</w:t>
      </w:r>
      <w:r>
        <w:rPr>
          <w:rFonts w:hint="eastAsia" w:ascii="Times New Roman" w:hAnsi="Times New Roman" w:eastAsia="仿宋_GB2312" w:cs="Times New Roman"/>
          <w:sz w:val="32"/>
          <w:szCs w:val="32"/>
          <w:lang w:val="en-US" w:eastAsia="zh-CN"/>
        </w:rPr>
        <w:t>86.81</w:t>
      </w:r>
      <w:bookmarkStart w:id="0" w:name="_GoBack"/>
      <w:bookmarkEnd w:id="0"/>
      <w:r>
        <w:rPr>
          <w:rFonts w:hint="default"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二、部门整体支出资金管理及使用情况</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年部门整体支出</w:t>
      </w:r>
      <w:r>
        <w:rPr>
          <w:rFonts w:hint="default" w:ascii="Times New Roman" w:hAnsi="Times New Roman" w:eastAsia="仿宋_GB2312" w:cs="Times New Roman"/>
          <w:sz w:val="32"/>
          <w:szCs w:val="32"/>
          <w:lang w:val="en-US" w:eastAsia="zh-CN"/>
        </w:rPr>
        <w:t>1340.5486</w:t>
      </w:r>
      <w:r>
        <w:rPr>
          <w:rFonts w:hint="default"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176.8198</w:t>
      </w:r>
      <w:r>
        <w:rPr>
          <w:rFonts w:hint="default" w:ascii="Times New Roman" w:hAnsi="Times New Roman" w:eastAsia="仿宋_GB2312" w:cs="Times New Roman"/>
          <w:sz w:val="32"/>
          <w:szCs w:val="32"/>
        </w:rPr>
        <w:t>万元；项目支出</w:t>
      </w:r>
      <w:r>
        <w:rPr>
          <w:rFonts w:hint="eastAsia" w:ascii="Times New Roman" w:hAnsi="Times New Roman" w:eastAsia="仿宋_GB2312" w:cs="Times New Roman"/>
          <w:sz w:val="32"/>
          <w:szCs w:val="32"/>
          <w:lang w:val="en-US" w:eastAsia="zh-CN"/>
        </w:rPr>
        <w:t>1163.7288</w:t>
      </w:r>
      <w:r>
        <w:rPr>
          <w:rFonts w:hint="default" w:ascii="Times New Roman" w:hAnsi="Times New Roman" w:eastAsia="仿宋_GB2312" w:cs="Times New Roman"/>
          <w:sz w:val="32"/>
          <w:szCs w:val="32"/>
        </w:rPr>
        <w:t>万元。具体安排情况如下：</w:t>
      </w:r>
    </w:p>
    <w:p>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（一）基本支出</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年度基本支出</w:t>
      </w:r>
      <w:r>
        <w:rPr>
          <w:rFonts w:hint="eastAsia" w:ascii="Times New Roman" w:hAnsi="Times New Roman" w:eastAsia="仿宋_GB2312" w:cs="Times New Roman"/>
          <w:sz w:val="32"/>
          <w:szCs w:val="32"/>
          <w:lang w:val="en-US" w:eastAsia="zh-CN"/>
        </w:rPr>
        <w:t>176.82</w:t>
      </w:r>
      <w:r>
        <w:rPr>
          <w:rFonts w:hint="default" w:ascii="Times New Roman" w:hAnsi="Times New Roman" w:eastAsia="仿宋_GB2312" w:cs="Times New Roman"/>
          <w:sz w:val="32"/>
          <w:szCs w:val="32"/>
        </w:rPr>
        <w:t>万元，其中人员经费</w:t>
      </w:r>
      <w:r>
        <w:rPr>
          <w:rFonts w:hint="default" w:ascii="Times New Roman" w:hAnsi="Times New Roman" w:eastAsia="仿宋_GB2312" w:cs="Times New Roman"/>
          <w:sz w:val="32"/>
          <w:szCs w:val="32"/>
          <w:lang w:val="en-US" w:eastAsia="zh-CN"/>
        </w:rPr>
        <w:t>145.9</w:t>
      </w:r>
      <w:r>
        <w:rPr>
          <w:rFonts w:hint="default" w:ascii="Times New Roman" w:hAnsi="Times New Roman" w:eastAsia="仿宋_GB2312" w:cs="Times New Roman"/>
          <w:sz w:val="32"/>
          <w:szCs w:val="32"/>
        </w:rPr>
        <w:t>万元，日常公用经费</w:t>
      </w:r>
      <w:r>
        <w:rPr>
          <w:rFonts w:hint="eastAsia" w:ascii="Times New Roman" w:hAnsi="Times New Roman" w:eastAsia="仿宋_GB2312" w:cs="Times New Roman"/>
          <w:sz w:val="32"/>
          <w:szCs w:val="32"/>
          <w:lang w:val="en-US" w:eastAsia="zh-CN"/>
        </w:rPr>
        <w:t>30.92</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是指为保障单位机构正常运转、完成日常工作任务而发生的各项支出，包括用于基本工资、津贴补贴等人员经费以及办公费、印刷费、水电费、办公设备购置等日常公用经费。</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“三公” 经费总支出情况</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年“三公”经费决算数为</w:t>
      </w:r>
      <w:r>
        <w:rPr>
          <w:rFonts w:hint="default" w:ascii="Times New Roman" w:hAnsi="Times New Roman" w:eastAsia="仿宋_GB2312" w:cs="Times New Roman"/>
          <w:sz w:val="32"/>
          <w:szCs w:val="32"/>
          <w:lang w:val="en-US" w:eastAsia="zh-CN"/>
        </w:rPr>
        <w:t>4.77</w:t>
      </w:r>
      <w:r>
        <w:rPr>
          <w:rFonts w:hint="default" w:ascii="Times New Roman" w:hAnsi="Times New Roman" w:eastAsia="仿宋_GB2312" w:cs="Times New Roman"/>
          <w:sz w:val="32"/>
          <w:szCs w:val="32"/>
        </w:rPr>
        <w:t>万元，其中，公务接待费</w:t>
      </w:r>
      <w:r>
        <w:rPr>
          <w:rFonts w:hint="default" w:ascii="Times New Roman" w:hAnsi="Times New Roman" w:eastAsia="仿宋_GB2312" w:cs="Times New Roman"/>
          <w:sz w:val="32"/>
          <w:szCs w:val="32"/>
          <w:lang w:val="en-US" w:eastAsia="zh-CN"/>
        </w:rPr>
        <w:t>1.62</w:t>
      </w:r>
      <w:r>
        <w:rPr>
          <w:rFonts w:hint="default" w:ascii="Times New Roman" w:hAnsi="Times New Roman" w:eastAsia="仿宋_GB2312" w:cs="Times New Roman"/>
          <w:sz w:val="32"/>
          <w:szCs w:val="32"/>
        </w:rPr>
        <w:t>万元，公务用车购置及运行费</w:t>
      </w:r>
      <w:r>
        <w:rPr>
          <w:rFonts w:hint="default" w:ascii="Times New Roman" w:hAnsi="Times New Roman" w:eastAsia="仿宋_GB2312" w:cs="Times New Roman"/>
          <w:sz w:val="32"/>
          <w:szCs w:val="32"/>
          <w:lang w:val="en-US" w:eastAsia="zh-CN"/>
        </w:rPr>
        <w:t>3.15</w:t>
      </w:r>
      <w:r>
        <w:rPr>
          <w:rFonts w:hint="default" w:ascii="Times New Roman" w:hAnsi="Times New Roman" w:eastAsia="仿宋_GB2312" w:cs="Times New Roman"/>
          <w:sz w:val="32"/>
          <w:szCs w:val="32"/>
        </w:rPr>
        <w:t>万元（其中，公务用车购置费0万元，公务用车运行费</w:t>
      </w:r>
      <w:r>
        <w:rPr>
          <w:rFonts w:hint="default" w:ascii="Times New Roman" w:hAnsi="Times New Roman" w:eastAsia="仿宋_GB2312" w:cs="Times New Roman"/>
          <w:sz w:val="32"/>
          <w:szCs w:val="32"/>
          <w:lang w:val="en-US" w:eastAsia="zh-CN"/>
        </w:rPr>
        <w:t>3.15</w:t>
      </w:r>
      <w:r>
        <w:rPr>
          <w:rFonts w:hint="default" w:ascii="Times New Roman" w:hAnsi="Times New Roman" w:eastAsia="仿宋_GB2312" w:cs="Times New Roman"/>
          <w:sz w:val="32"/>
          <w:szCs w:val="32"/>
        </w:rPr>
        <w:t>万元），因公出国（境）费0万元。</w:t>
      </w:r>
      <w:r>
        <w:rPr>
          <w:rFonts w:hint="default" w:ascii="Times New Roman" w:hAnsi="Times New Roman" w:eastAsia="仿宋_GB2312" w:cs="Times New Roman"/>
          <w:sz w:val="32"/>
          <w:szCs w:val="32"/>
          <w:lang w:eastAsia="zh-CN"/>
        </w:rPr>
        <w:t>我中心严格按程序和规定标准控制公务接待支出，厉行节约，不存在公款大吃大喝现象及参与高消费娱乐等情况，同时对公车运行费用也加强了管理，实行定点维修、定点加油措施，三公经费严格控制在预算范围内，无超支情况。</w:t>
      </w:r>
    </w:p>
    <w:p>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（二）项目支出</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年度本单位项目支出总资金决算数为</w:t>
      </w:r>
      <w:r>
        <w:rPr>
          <w:rFonts w:hint="eastAsia" w:ascii="Times New Roman" w:hAnsi="Times New Roman" w:eastAsia="仿宋_GB2312" w:cs="Times New Roman"/>
          <w:sz w:val="32"/>
          <w:szCs w:val="32"/>
          <w:lang w:val="en-US" w:eastAsia="zh-CN"/>
        </w:rPr>
        <w:t>1163.7288</w:t>
      </w:r>
      <w:r>
        <w:rPr>
          <w:rFonts w:hint="default" w:ascii="Times New Roman" w:hAnsi="Times New Roman" w:eastAsia="仿宋_GB2312" w:cs="Times New Roman"/>
          <w:sz w:val="32"/>
          <w:szCs w:val="32"/>
        </w:rPr>
        <w:t>万元。</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1．项目资金（包括财政资金、自筹资金等）安排落实、总投入等情况分析</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eastAsia="zh-CN"/>
        </w:rPr>
        <w:t>项目支出</w:t>
      </w:r>
      <w:r>
        <w:rPr>
          <w:rFonts w:hint="default" w:ascii="Times New Roman" w:hAnsi="Times New Roman" w:eastAsia="仿宋_GB2312" w:cs="Times New Roman"/>
          <w:sz w:val="32"/>
          <w:szCs w:val="32"/>
        </w:rPr>
        <w:t>决算数为</w:t>
      </w:r>
      <w:r>
        <w:rPr>
          <w:rFonts w:hint="eastAsia" w:ascii="Times New Roman" w:hAnsi="Times New Roman" w:eastAsia="仿宋_GB2312" w:cs="Times New Roman"/>
          <w:sz w:val="32"/>
          <w:szCs w:val="32"/>
          <w:lang w:val="en-US" w:eastAsia="zh-CN"/>
        </w:rPr>
        <w:t>1163.7288</w:t>
      </w:r>
      <w:r>
        <w:rPr>
          <w:rFonts w:hint="default" w:ascii="Times New Roman" w:hAnsi="Times New Roman" w:eastAsia="仿宋_GB2312" w:cs="Times New Roman"/>
          <w:sz w:val="32"/>
          <w:szCs w:val="32"/>
        </w:rPr>
        <w:t>万元，是指单位为完成特定行政工作任务或事业发展目标而发生的支出，包括有关事业发展专项、专项业务费、基本建设支出、对市专项补助等。其中：农林水支出</w:t>
      </w:r>
      <w:r>
        <w:rPr>
          <w:rFonts w:hint="default" w:ascii="Times New Roman" w:hAnsi="Times New Roman" w:eastAsia="仿宋_GB2312" w:cs="Times New Roman"/>
          <w:sz w:val="32"/>
          <w:szCs w:val="32"/>
          <w:lang w:val="en-US" w:eastAsia="zh-CN"/>
        </w:rPr>
        <w:t>152</w:t>
      </w:r>
      <w:r>
        <w:rPr>
          <w:rFonts w:hint="default" w:ascii="Times New Roman" w:hAnsi="Times New Roman" w:eastAsia="仿宋_GB2312" w:cs="Times New Roman"/>
          <w:sz w:val="32"/>
          <w:szCs w:val="32"/>
        </w:rPr>
        <w:t>万元，占总支出的</w:t>
      </w:r>
      <w:r>
        <w:rPr>
          <w:rFonts w:hint="default" w:ascii="Times New Roman" w:hAnsi="Times New Roman" w:eastAsia="仿宋_GB2312" w:cs="Times New Roman"/>
          <w:sz w:val="32"/>
          <w:szCs w:val="32"/>
          <w:lang w:val="en-US" w:eastAsia="zh-CN"/>
        </w:rPr>
        <w:t>13.0</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％，资源勘探工业信息等支出</w:t>
      </w:r>
      <w:r>
        <w:rPr>
          <w:rFonts w:hint="default" w:ascii="Times New Roman" w:hAnsi="Times New Roman" w:eastAsia="仿宋_GB2312" w:cs="Times New Roman"/>
          <w:sz w:val="32"/>
          <w:szCs w:val="32"/>
          <w:lang w:val="en-US" w:eastAsia="zh-CN"/>
        </w:rPr>
        <w:t>721.746</w:t>
      </w:r>
      <w:r>
        <w:rPr>
          <w:rFonts w:hint="default" w:ascii="Times New Roman" w:hAnsi="Times New Roman" w:eastAsia="仿宋_GB2312" w:cs="Times New Roman"/>
          <w:sz w:val="32"/>
          <w:szCs w:val="32"/>
        </w:rPr>
        <w:t>万元，占总支出的</w:t>
      </w:r>
      <w:r>
        <w:rPr>
          <w:rFonts w:hint="eastAsia" w:ascii="Times New Roman" w:hAnsi="Times New Roman" w:eastAsia="仿宋_GB2312" w:cs="Times New Roman"/>
          <w:sz w:val="32"/>
          <w:szCs w:val="32"/>
          <w:lang w:val="en-US" w:eastAsia="zh-CN"/>
        </w:rPr>
        <w:t>62.02</w:t>
      </w:r>
      <w:r>
        <w:rPr>
          <w:rFonts w:hint="default" w:ascii="Times New Roman" w:hAnsi="Times New Roman" w:eastAsia="仿宋_GB2312" w:cs="Times New Roman"/>
          <w:sz w:val="32"/>
          <w:szCs w:val="32"/>
        </w:rPr>
        <w:t>％，金融支出</w:t>
      </w:r>
      <w:r>
        <w:rPr>
          <w:rFonts w:hint="eastAsia" w:ascii="Times New Roman" w:hAnsi="Times New Roman" w:eastAsia="仿宋_GB2312" w:cs="Times New Roman"/>
          <w:sz w:val="32"/>
          <w:szCs w:val="32"/>
          <w:lang w:val="en-US" w:eastAsia="zh-CN"/>
        </w:rPr>
        <w:t>289.9828</w:t>
      </w:r>
      <w:r>
        <w:rPr>
          <w:rFonts w:hint="default" w:ascii="Times New Roman" w:hAnsi="Times New Roman" w:eastAsia="仿宋_GB2312" w:cs="Times New Roman"/>
          <w:sz w:val="32"/>
          <w:szCs w:val="32"/>
        </w:rPr>
        <w:t>万元，占总支出的</w:t>
      </w:r>
      <w:r>
        <w:rPr>
          <w:rFonts w:hint="eastAsia" w:ascii="Times New Roman" w:hAnsi="Times New Roman" w:eastAsia="仿宋_GB2312" w:cs="Times New Roman"/>
          <w:sz w:val="32"/>
          <w:szCs w:val="32"/>
          <w:lang w:val="en-US" w:eastAsia="zh-CN"/>
        </w:rPr>
        <w:t>24.92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2．项目资金实际使用情况分析</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kern w:val="0"/>
          <w:sz w:val="32"/>
          <w:szCs w:val="32"/>
          <w:lang w:bidi="ar"/>
        </w:rPr>
      </w:pPr>
      <w:r>
        <w:rPr>
          <w:rFonts w:hint="default" w:ascii="Times New Roman" w:hAnsi="Times New Roman" w:eastAsia="仿宋_GB2312" w:cs="Times New Roman"/>
          <w:b w:val="0"/>
          <w:bCs/>
          <w:sz w:val="32"/>
          <w:szCs w:val="32"/>
          <w:lang w:val="en-US" w:eastAsia="zh-CN"/>
        </w:rPr>
        <w:t>2020年</w:t>
      </w:r>
      <w:r>
        <w:rPr>
          <w:rFonts w:hint="default" w:ascii="Times New Roman" w:hAnsi="Times New Roman" w:eastAsia="仿宋_GB2312" w:cs="Times New Roman"/>
          <w:b w:val="0"/>
          <w:bCs/>
          <w:sz w:val="32"/>
          <w:szCs w:val="32"/>
        </w:rPr>
        <w:t>金融扶贫工作有序推进</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kern w:val="0"/>
          <w:sz w:val="32"/>
          <w:szCs w:val="32"/>
          <w:lang w:bidi="ar"/>
        </w:rPr>
        <w:t>截至</w:t>
      </w:r>
      <w:r>
        <w:rPr>
          <w:rFonts w:hint="default" w:ascii="Times New Roman" w:hAnsi="Times New Roman" w:eastAsia="仿宋_GB2312" w:cs="Times New Roman"/>
          <w:kern w:val="0"/>
          <w:sz w:val="32"/>
          <w:szCs w:val="32"/>
          <w:lang w:val="en-US" w:eastAsia="zh-CN" w:bidi="ar"/>
        </w:rPr>
        <w:t>11</w:t>
      </w:r>
      <w:r>
        <w:rPr>
          <w:rFonts w:hint="default" w:ascii="Times New Roman" w:hAnsi="Times New Roman" w:eastAsia="仿宋_GB2312" w:cs="Times New Roman"/>
          <w:kern w:val="0"/>
          <w:sz w:val="32"/>
          <w:szCs w:val="32"/>
          <w:lang w:bidi="ar"/>
        </w:rPr>
        <w:t>月底新增</w:t>
      </w:r>
      <w:r>
        <w:rPr>
          <w:rFonts w:hint="default" w:ascii="Times New Roman" w:hAnsi="Times New Roman" w:eastAsia="仿宋_GB2312" w:cs="Times New Roman"/>
          <w:sz w:val="32"/>
          <w:szCs w:val="32"/>
          <w:shd w:val="clear" w:color="auto" w:fill="FFFFFF"/>
          <w:lang w:val="en-US" w:eastAsia="zh-CN"/>
        </w:rPr>
        <w:t>1645</w:t>
      </w:r>
      <w:r>
        <w:rPr>
          <w:rFonts w:hint="default" w:ascii="Times New Roman" w:hAnsi="Times New Roman" w:eastAsia="仿宋_GB2312" w:cs="Times New Roman"/>
          <w:sz w:val="32"/>
          <w:szCs w:val="32"/>
          <w:shd w:val="clear" w:color="auto" w:fill="FFFFFF"/>
        </w:rPr>
        <w:t>笔、</w:t>
      </w:r>
      <w:r>
        <w:rPr>
          <w:rFonts w:hint="default" w:ascii="Times New Roman" w:hAnsi="Times New Roman" w:eastAsia="仿宋_GB2312" w:cs="Times New Roman"/>
          <w:sz w:val="32"/>
          <w:szCs w:val="32"/>
          <w:shd w:val="clear" w:color="auto" w:fill="FFFFFF"/>
          <w:lang w:val="en-US" w:eastAsia="zh-CN"/>
        </w:rPr>
        <w:t>6980.51</w:t>
      </w:r>
      <w:r>
        <w:rPr>
          <w:rFonts w:hint="default" w:ascii="Times New Roman" w:hAnsi="Times New Roman" w:eastAsia="仿宋_GB2312" w:cs="Times New Roman"/>
          <w:sz w:val="32"/>
          <w:szCs w:val="32"/>
          <w:shd w:val="clear" w:color="auto" w:fill="FFFFFF"/>
        </w:rPr>
        <w:t>万元</w:t>
      </w:r>
      <w:r>
        <w:rPr>
          <w:rFonts w:hint="default" w:ascii="Times New Roman" w:hAnsi="Times New Roman" w:eastAsia="仿宋_GB2312" w:cs="Times New Roman"/>
          <w:kern w:val="0"/>
          <w:sz w:val="32"/>
          <w:szCs w:val="32"/>
          <w:lang w:bidi="ar"/>
        </w:rPr>
        <w:t>，提前超额完成省定目标任务，较好完成了“能贷尽贷”要求；</w:t>
      </w:r>
      <w:r>
        <w:rPr>
          <w:rFonts w:hint="default" w:ascii="Times New Roman" w:hAnsi="Times New Roman" w:eastAsia="仿宋_GB2312" w:cs="Times New Roman"/>
          <w:kern w:val="0"/>
          <w:sz w:val="32"/>
          <w:szCs w:val="32"/>
          <w:lang w:eastAsia="zh-CN" w:bidi="ar"/>
        </w:rPr>
        <w:t>截至</w:t>
      </w:r>
      <w:r>
        <w:rPr>
          <w:rFonts w:hint="default" w:ascii="Times New Roman" w:hAnsi="Times New Roman" w:eastAsia="仿宋_GB2312" w:cs="Times New Roman"/>
          <w:kern w:val="0"/>
          <w:sz w:val="32"/>
          <w:szCs w:val="32"/>
          <w:lang w:val="en-US" w:eastAsia="zh-CN" w:bidi="ar"/>
        </w:rPr>
        <w:t>11月底</w:t>
      </w:r>
      <w:r>
        <w:rPr>
          <w:rFonts w:hint="default" w:ascii="Times New Roman" w:hAnsi="Times New Roman" w:eastAsia="仿宋_GB2312" w:cs="Times New Roman"/>
          <w:kern w:val="0"/>
          <w:sz w:val="32"/>
          <w:szCs w:val="32"/>
          <w:lang w:bidi="ar"/>
        </w:rPr>
        <w:t>贷款余额16</w:t>
      </w:r>
      <w:r>
        <w:rPr>
          <w:rFonts w:hint="default" w:ascii="Times New Roman" w:hAnsi="Times New Roman" w:eastAsia="仿宋_GB2312" w:cs="Times New Roman"/>
          <w:kern w:val="0"/>
          <w:sz w:val="32"/>
          <w:szCs w:val="32"/>
          <w:lang w:val="en-US" w:eastAsia="zh-CN" w:bidi="ar"/>
        </w:rPr>
        <w:t>01</w:t>
      </w:r>
      <w:r>
        <w:rPr>
          <w:rFonts w:hint="default" w:ascii="Times New Roman" w:hAnsi="Times New Roman" w:eastAsia="仿宋_GB2312" w:cs="Times New Roman"/>
          <w:kern w:val="0"/>
          <w:sz w:val="32"/>
          <w:szCs w:val="32"/>
          <w:lang w:bidi="ar"/>
        </w:rPr>
        <w:t>笔、6</w:t>
      </w:r>
      <w:r>
        <w:rPr>
          <w:rFonts w:hint="default" w:ascii="Times New Roman" w:hAnsi="Times New Roman" w:eastAsia="仿宋_GB2312" w:cs="Times New Roman"/>
          <w:kern w:val="0"/>
          <w:sz w:val="32"/>
          <w:szCs w:val="32"/>
          <w:lang w:val="en-US" w:eastAsia="zh-CN" w:bidi="ar"/>
        </w:rPr>
        <w:t>792.01</w:t>
      </w:r>
      <w:r>
        <w:rPr>
          <w:rFonts w:hint="default" w:ascii="Times New Roman" w:hAnsi="Times New Roman" w:eastAsia="仿宋_GB2312" w:cs="Times New Roman"/>
          <w:kern w:val="0"/>
          <w:sz w:val="32"/>
          <w:szCs w:val="32"/>
          <w:lang w:bidi="ar"/>
        </w:rPr>
        <w:t>万元；累计贴息863.87万元，其中2020年前三季度贴息149.17万元，每月月底扶贫贷款逾期和欠息均清零，较好的控制和化解了风险。</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lang w:val="en-US" w:eastAsia="zh-CN"/>
        </w:rPr>
        <w:t>2020年</w:t>
      </w:r>
      <w:r>
        <w:rPr>
          <w:rFonts w:hint="default" w:ascii="Times New Roman" w:hAnsi="Times New Roman" w:eastAsia="仿宋_GB2312" w:cs="Times New Roman"/>
          <w:b w:val="0"/>
          <w:bCs/>
          <w:sz w:val="32"/>
          <w:szCs w:val="32"/>
        </w:rPr>
        <w:t>企业上市工作来势较好</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kern w:val="0"/>
          <w:sz w:val="32"/>
          <w:szCs w:val="32"/>
          <w:lang w:bidi="ar"/>
        </w:rPr>
        <w:t>把握资本市场的政策窗口期，培育了一批优质企业实质性启动上市工作。松井新材6月9日在科创板成功敲锣，实现了我市近五年本土上市企业零的突破。星邦智能创业板上市资料已被深交所受理，正在按程序审核；邦弗特</w:t>
      </w:r>
      <w:r>
        <w:rPr>
          <w:rFonts w:hint="default" w:ascii="Times New Roman" w:hAnsi="Times New Roman" w:eastAsia="仿宋_GB2312" w:cs="Times New Roman"/>
          <w:kern w:val="0"/>
          <w:sz w:val="32"/>
          <w:szCs w:val="32"/>
          <w:lang w:eastAsia="zh-CN" w:bidi="ar"/>
        </w:rPr>
        <w:t>于</w:t>
      </w:r>
      <w:r>
        <w:rPr>
          <w:rFonts w:hint="default" w:ascii="Times New Roman" w:hAnsi="Times New Roman" w:eastAsia="仿宋_GB2312" w:cs="Times New Roman"/>
          <w:kern w:val="0"/>
          <w:sz w:val="32"/>
          <w:szCs w:val="32"/>
          <w:lang w:val="en-US" w:eastAsia="zh-CN" w:bidi="ar"/>
        </w:rPr>
        <w:t>9</w:t>
      </w:r>
      <w:r>
        <w:rPr>
          <w:rFonts w:hint="default" w:ascii="Times New Roman" w:hAnsi="Times New Roman" w:eastAsia="仿宋_GB2312" w:cs="Times New Roman"/>
          <w:kern w:val="0"/>
          <w:sz w:val="32"/>
          <w:szCs w:val="32"/>
          <w:lang w:eastAsia="zh-CN" w:bidi="ar"/>
        </w:rPr>
        <w:t>月</w:t>
      </w:r>
      <w:r>
        <w:rPr>
          <w:rFonts w:hint="default" w:ascii="Times New Roman" w:hAnsi="Times New Roman" w:eastAsia="仿宋_GB2312" w:cs="Times New Roman"/>
          <w:kern w:val="0"/>
          <w:sz w:val="32"/>
          <w:szCs w:val="32"/>
          <w:lang w:val="en-US" w:eastAsia="zh-CN" w:bidi="ar"/>
        </w:rPr>
        <w:t>22</w:t>
      </w:r>
      <w:r>
        <w:rPr>
          <w:rFonts w:hint="default" w:ascii="Times New Roman" w:hAnsi="Times New Roman" w:eastAsia="仿宋_GB2312" w:cs="Times New Roman"/>
          <w:kern w:val="0"/>
          <w:sz w:val="32"/>
          <w:szCs w:val="32"/>
          <w:lang w:eastAsia="zh-CN" w:bidi="ar"/>
        </w:rPr>
        <w:t>日</w:t>
      </w:r>
      <w:r>
        <w:rPr>
          <w:rFonts w:hint="default" w:ascii="Times New Roman" w:hAnsi="Times New Roman" w:eastAsia="仿宋_GB2312" w:cs="Times New Roman"/>
          <w:kern w:val="0"/>
          <w:sz w:val="32"/>
          <w:szCs w:val="32"/>
          <w:lang w:bidi="ar"/>
        </w:rPr>
        <w:t>在湖南证监辅导备案，万鑫精工</w:t>
      </w:r>
      <w:r>
        <w:rPr>
          <w:rFonts w:hint="default" w:ascii="Times New Roman" w:hAnsi="Times New Roman" w:eastAsia="仿宋_GB2312" w:cs="Times New Roman"/>
          <w:kern w:val="0"/>
          <w:sz w:val="32"/>
          <w:szCs w:val="32"/>
          <w:lang w:eastAsia="zh-CN" w:bidi="ar"/>
        </w:rPr>
        <w:t>于11月24日</w:t>
      </w:r>
      <w:r>
        <w:rPr>
          <w:rFonts w:hint="default" w:ascii="Times New Roman" w:hAnsi="Times New Roman" w:eastAsia="仿宋_GB2312" w:cs="Times New Roman"/>
          <w:kern w:val="0"/>
          <w:sz w:val="32"/>
          <w:szCs w:val="32"/>
          <w:lang w:bidi="ar"/>
        </w:rPr>
        <w:t>在湖南证监辅导备案</w:t>
      </w:r>
      <w:r>
        <w:rPr>
          <w:rFonts w:hint="default" w:ascii="Times New Roman" w:hAnsi="Times New Roman" w:eastAsia="仿宋_GB2312" w:cs="Times New Roman"/>
          <w:kern w:val="0"/>
          <w:sz w:val="32"/>
          <w:szCs w:val="32"/>
          <w:highlight w:val="none"/>
          <w:lang w:bidi="ar"/>
        </w:rPr>
        <w:t>，</w:t>
      </w:r>
      <w:r>
        <w:rPr>
          <w:rFonts w:hint="default" w:ascii="Times New Roman" w:hAnsi="Times New Roman" w:eastAsia="仿宋_GB2312" w:cs="Times New Roman"/>
          <w:kern w:val="0"/>
          <w:sz w:val="32"/>
          <w:szCs w:val="32"/>
          <w:lang w:eastAsia="zh-CN" w:bidi="ar"/>
        </w:rPr>
        <w:t>族兴新材于11月9日</w:t>
      </w:r>
      <w:r>
        <w:rPr>
          <w:rFonts w:hint="default" w:ascii="Times New Roman" w:hAnsi="Times New Roman" w:eastAsia="仿宋_GB2312" w:cs="Times New Roman"/>
          <w:b w:val="0"/>
          <w:bCs w:val="0"/>
          <w:kern w:val="0"/>
          <w:sz w:val="32"/>
          <w:szCs w:val="32"/>
          <w:highlight w:val="none"/>
          <w:lang w:eastAsia="zh-CN" w:bidi="ar"/>
        </w:rPr>
        <w:t>重新向湖南证监局申请辅导备案</w:t>
      </w:r>
      <w:r>
        <w:rPr>
          <w:rFonts w:hint="default" w:ascii="Times New Roman" w:hAnsi="Times New Roman" w:eastAsia="仿宋_GB2312" w:cs="Times New Roman"/>
          <w:kern w:val="0"/>
          <w:sz w:val="32"/>
          <w:szCs w:val="32"/>
          <w:lang w:bidi="ar"/>
        </w:rPr>
        <w:t>；30多家企业入选湖南省、长沙市拟上市后备企业资源库。</w:t>
      </w:r>
      <w:r>
        <w:rPr>
          <w:rFonts w:hint="default" w:ascii="Times New Roman" w:hAnsi="Times New Roman" w:eastAsia="仿宋_GB2312" w:cs="Times New Roman"/>
          <w:b w:val="0"/>
          <w:bCs/>
          <w:sz w:val="32"/>
          <w:szCs w:val="32"/>
        </w:rPr>
        <w:t>打击非法集资卓有成效</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sz w:val="32"/>
          <w:szCs w:val="32"/>
        </w:rPr>
        <w:t>宁乡作为全省首批金融安全区和长沙市连续4年的打非工作先进单位，金融环境逐年优化。今年以来，以落实“2349”工作任务（即整治2家涉非企业、稳定3个重点企业投资人群体、督促4家风险企业关停注销、加快办理9起涉嫌非法集资案件）为着力点，进一步将打击非法集资工作向纵深推进。截止到目前，组织开展2次非法集资</w:t>
      </w:r>
      <w:r>
        <w:rPr>
          <w:rFonts w:hint="default" w:ascii="Times New Roman" w:hAnsi="Times New Roman" w:eastAsia="仿宋_GB2312" w:cs="Times New Roman"/>
          <w:color w:val="auto"/>
          <w:sz w:val="32"/>
          <w:szCs w:val="32"/>
        </w:rPr>
        <w:t>集中宣传月活动，开展1次打非集中整治月行动，排查新注册企业涉非风险</w:t>
      </w:r>
      <w:r>
        <w:rPr>
          <w:rFonts w:hint="default" w:ascii="Times New Roman" w:hAnsi="Times New Roman" w:eastAsia="仿宋_GB2312" w:cs="Times New Roman"/>
          <w:color w:val="auto"/>
          <w:sz w:val="32"/>
          <w:szCs w:val="32"/>
          <w:lang w:val="en-US" w:eastAsia="zh-CN"/>
        </w:rPr>
        <w:t>659</w:t>
      </w:r>
      <w:r>
        <w:rPr>
          <w:rFonts w:hint="default" w:ascii="Times New Roman" w:hAnsi="Times New Roman" w:eastAsia="仿宋_GB2312" w:cs="Times New Roman"/>
          <w:color w:val="auto"/>
          <w:sz w:val="32"/>
          <w:szCs w:val="32"/>
        </w:rPr>
        <w:t>家，联合楼宇清查行动12次，重点线索核查</w:t>
      </w: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次，联合约谈涉嫌违规经营企业负责人6次，打早打小关停新入驻涉嫌非法集资公司</w:t>
      </w:r>
      <w:r>
        <w:rPr>
          <w:rFonts w:hint="default"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rPr>
        <w:t>家，特别是盛大金禧宁</w:t>
      </w:r>
      <w:r>
        <w:rPr>
          <w:rFonts w:hint="default" w:ascii="Times New Roman" w:hAnsi="Times New Roman" w:eastAsia="仿宋_GB2312" w:cs="Times New Roman"/>
          <w:sz w:val="32"/>
          <w:szCs w:val="32"/>
        </w:rPr>
        <w:t>乡分公司正在处于注销阶段，即将安全有序离开宁乡。</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sz w:val="32"/>
          <w:szCs w:val="32"/>
        </w:rPr>
        <w:t>主要金融指标保持稳定</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color w:val="auto"/>
          <w:kern w:val="0"/>
          <w:sz w:val="32"/>
          <w:szCs w:val="32"/>
          <w:highlight w:val="none"/>
          <w:lang w:bidi="ar"/>
        </w:rPr>
        <w:t>截至</w:t>
      </w:r>
      <w:r>
        <w:rPr>
          <w:rFonts w:hint="default" w:ascii="Times New Roman" w:hAnsi="Times New Roman" w:eastAsia="仿宋_GB2312" w:cs="Times New Roman"/>
          <w:color w:val="auto"/>
          <w:kern w:val="0"/>
          <w:sz w:val="32"/>
          <w:szCs w:val="32"/>
          <w:highlight w:val="none"/>
          <w:lang w:val="en-US" w:eastAsia="zh-CN" w:bidi="ar"/>
        </w:rPr>
        <w:t>11</w:t>
      </w:r>
      <w:r>
        <w:rPr>
          <w:rFonts w:hint="default" w:ascii="Times New Roman" w:hAnsi="Times New Roman" w:eastAsia="仿宋_GB2312" w:cs="Times New Roman"/>
          <w:color w:val="auto"/>
          <w:kern w:val="0"/>
          <w:sz w:val="32"/>
          <w:szCs w:val="32"/>
          <w:highlight w:val="none"/>
          <w:lang w:bidi="ar"/>
        </w:rPr>
        <w:t>月底，我市银行机构存款余额</w:t>
      </w:r>
      <w:r>
        <w:rPr>
          <w:rFonts w:hint="default" w:ascii="Times New Roman" w:hAnsi="Times New Roman" w:eastAsia="仿宋_GB2312" w:cs="Times New Roman"/>
          <w:color w:val="auto"/>
          <w:kern w:val="0"/>
          <w:sz w:val="32"/>
          <w:szCs w:val="32"/>
          <w:highlight w:val="none"/>
          <w:lang w:val="en-US" w:eastAsia="zh-CN" w:bidi="ar"/>
        </w:rPr>
        <w:t>930.2</w:t>
      </w:r>
      <w:r>
        <w:rPr>
          <w:rFonts w:hint="default" w:ascii="Times New Roman" w:hAnsi="Times New Roman" w:eastAsia="仿宋_GB2312" w:cs="Times New Roman"/>
          <w:color w:val="auto"/>
          <w:kern w:val="0"/>
          <w:sz w:val="32"/>
          <w:szCs w:val="32"/>
          <w:highlight w:val="none"/>
          <w:lang w:bidi="ar"/>
        </w:rPr>
        <w:t>亿元，</w:t>
      </w:r>
      <w:r>
        <w:rPr>
          <w:rFonts w:hint="default" w:ascii="Times New Roman" w:hAnsi="Times New Roman" w:eastAsia="仿宋_GB2312" w:cs="Times New Roman"/>
          <w:color w:val="auto"/>
          <w:kern w:val="0"/>
          <w:sz w:val="32"/>
          <w:szCs w:val="32"/>
          <w:highlight w:val="none"/>
          <w:lang w:eastAsia="zh-CN" w:bidi="ar"/>
        </w:rPr>
        <w:t>净</w:t>
      </w:r>
      <w:r>
        <w:rPr>
          <w:rFonts w:hint="default" w:ascii="Times New Roman" w:hAnsi="Times New Roman" w:eastAsia="仿宋_GB2312" w:cs="Times New Roman"/>
          <w:color w:val="auto"/>
          <w:kern w:val="0"/>
          <w:sz w:val="32"/>
          <w:szCs w:val="32"/>
          <w:highlight w:val="none"/>
          <w:lang w:bidi="ar"/>
        </w:rPr>
        <w:t>增</w:t>
      </w:r>
      <w:r>
        <w:rPr>
          <w:rFonts w:hint="default" w:ascii="Times New Roman" w:hAnsi="Times New Roman" w:eastAsia="仿宋_GB2312" w:cs="Times New Roman"/>
          <w:color w:val="auto"/>
          <w:kern w:val="0"/>
          <w:sz w:val="32"/>
          <w:szCs w:val="32"/>
          <w:highlight w:val="none"/>
          <w:lang w:val="en-US" w:eastAsia="zh-CN" w:bidi="ar"/>
        </w:rPr>
        <w:t>106.9</w:t>
      </w:r>
      <w:r>
        <w:rPr>
          <w:rFonts w:hint="default" w:ascii="Times New Roman" w:hAnsi="Times New Roman" w:eastAsia="仿宋_GB2312" w:cs="Times New Roman"/>
          <w:color w:val="auto"/>
          <w:kern w:val="0"/>
          <w:sz w:val="32"/>
          <w:szCs w:val="32"/>
          <w:highlight w:val="none"/>
          <w:lang w:bidi="ar"/>
        </w:rPr>
        <w:t>亿元，其中居民储蓄存款</w:t>
      </w:r>
      <w:r>
        <w:rPr>
          <w:rFonts w:hint="default" w:ascii="Times New Roman" w:hAnsi="Times New Roman" w:eastAsia="仿宋_GB2312" w:cs="Times New Roman"/>
          <w:color w:val="auto"/>
          <w:kern w:val="0"/>
          <w:sz w:val="32"/>
          <w:szCs w:val="32"/>
          <w:highlight w:val="none"/>
          <w:lang w:val="en-US" w:eastAsia="zh-CN" w:bidi="ar"/>
        </w:rPr>
        <w:t>544.9</w:t>
      </w:r>
      <w:r>
        <w:rPr>
          <w:rFonts w:hint="default" w:ascii="Times New Roman" w:hAnsi="Times New Roman" w:eastAsia="仿宋_GB2312" w:cs="Times New Roman"/>
          <w:color w:val="auto"/>
          <w:kern w:val="0"/>
          <w:sz w:val="32"/>
          <w:szCs w:val="32"/>
          <w:highlight w:val="none"/>
          <w:lang w:bidi="ar"/>
        </w:rPr>
        <w:t>亿元，净增</w:t>
      </w:r>
      <w:r>
        <w:rPr>
          <w:rFonts w:hint="default" w:ascii="Times New Roman" w:hAnsi="Times New Roman" w:eastAsia="仿宋_GB2312" w:cs="Times New Roman"/>
          <w:color w:val="auto"/>
          <w:kern w:val="0"/>
          <w:sz w:val="32"/>
          <w:szCs w:val="32"/>
          <w:highlight w:val="none"/>
          <w:lang w:val="en-US" w:eastAsia="zh-CN" w:bidi="ar"/>
        </w:rPr>
        <w:t>63.4</w:t>
      </w:r>
      <w:r>
        <w:rPr>
          <w:rFonts w:hint="default" w:ascii="Times New Roman" w:hAnsi="Times New Roman" w:eastAsia="仿宋_GB2312" w:cs="Times New Roman"/>
          <w:color w:val="auto"/>
          <w:kern w:val="0"/>
          <w:sz w:val="32"/>
          <w:szCs w:val="32"/>
          <w:highlight w:val="none"/>
          <w:lang w:bidi="ar"/>
        </w:rPr>
        <w:t>亿元；银行机构贷款余额（表内）</w:t>
      </w:r>
      <w:r>
        <w:rPr>
          <w:rFonts w:hint="default" w:ascii="Times New Roman" w:hAnsi="Times New Roman" w:eastAsia="仿宋_GB2312" w:cs="Times New Roman"/>
          <w:color w:val="auto"/>
          <w:kern w:val="0"/>
          <w:sz w:val="32"/>
          <w:szCs w:val="32"/>
          <w:highlight w:val="none"/>
          <w:lang w:val="en-US" w:eastAsia="zh-CN" w:bidi="ar"/>
        </w:rPr>
        <w:t>1016.5</w:t>
      </w:r>
      <w:r>
        <w:rPr>
          <w:rFonts w:hint="default" w:ascii="Times New Roman" w:hAnsi="Times New Roman" w:eastAsia="仿宋_GB2312" w:cs="Times New Roman"/>
          <w:color w:val="auto"/>
          <w:kern w:val="0"/>
          <w:sz w:val="32"/>
          <w:szCs w:val="32"/>
          <w:highlight w:val="none"/>
          <w:lang w:bidi="ar"/>
        </w:rPr>
        <w:t>亿元，净增</w:t>
      </w:r>
      <w:r>
        <w:rPr>
          <w:rFonts w:hint="default" w:ascii="Times New Roman" w:hAnsi="Times New Roman" w:eastAsia="仿宋_GB2312" w:cs="Times New Roman"/>
          <w:color w:val="auto"/>
          <w:kern w:val="0"/>
          <w:sz w:val="32"/>
          <w:szCs w:val="32"/>
          <w:highlight w:val="none"/>
          <w:lang w:val="en-US" w:eastAsia="zh-CN" w:bidi="ar"/>
        </w:rPr>
        <w:t>182.3</w:t>
      </w:r>
      <w:r>
        <w:rPr>
          <w:rFonts w:hint="default" w:ascii="Times New Roman" w:hAnsi="Times New Roman" w:eastAsia="仿宋_GB2312" w:cs="Times New Roman"/>
          <w:color w:val="auto"/>
          <w:kern w:val="0"/>
          <w:sz w:val="32"/>
          <w:szCs w:val="32"/>
          <w:highlight w:val="none"/>
          <w:lang w:bidi="ar"/>
        </w:rPr>
        <w:t>亿元</w:t>
      </w:r>
      <w:r>
        <w:rPr>
          <w:rFonts w:hint="default" w:ascii="Times New Roman" w:hAnsi="Times New Roman" w:eastAsia="仿宋_GB2312" w:cs="Times New Roman"/>
          <w:color w:val="auto"/>
          <w:kern w:val="0"/>
          <w:sz w:val="32"/>
          <w:szCs w:val="32"/>
          <w:highlight w:val="none"/>
          <w:lang w:eastAsia="zh-CN" w:bidi="ar"/>
        </w:rPr>
        <w:t>，</w:t>
      </w:r>
      <w:r>
        <w:rPr>
          <w:rFonts w:hint="default" w:ascii="Times New Roman" w:hAnsi="Times New Roman" w:eastAsia="仿宋_GB2312" w:cs="Times New Roman"/>
          <w:color w:val="auto"/>
          <w:kern w:val="0"/>
          <w:sz w:val="32"/>
          <w:szCs w:val="32"/>
          <w:highlight w:val="none"/>
          <w:lang w:bidi="ar"/>
        </w:rPr>
        <w:t>其中工业贷款余额</w:t>
      </w:r>
      <w:r>
        <w:rPr>
          <w:rFonts w:hint="default" w:ascii="Times New Roman" w:hAnsi="Times New Roman" w:eastAsia="仿宋_GB2312" w:cs="Times New Roman"/>
          <w:color w:val="auto"/>
          <w:kern w:val="0"/>
          <w:sz w:val="32"/>
          <w:szCs w:val="32"/>
          <w:highlight w:val="none"/>
          <w:lang w:val="en-US" w:eastAsia="zh-CN" w:bidi="ar"/>
        </w:rPr>
        <w:t>100.3</w:t>
      </w:r>
      <w:r>
        <w:rPr>
          <w:rFonts w:hint="default" w:ascii="Times New Roman" w:hAnsi="Times New Roman" w:eastAsia="仿宋_GB2312" w:cs="Times New Roman"/>
          <w:color w:val="auto"/>
          <w:kern w:val="0"/>
          <w:sz w:val="32"/>
          <w:szCs w:val="32"/>
          <w:highlight w:val="none"/>
          <w:lang w:bidi="ar"/>
        </w:rPr>
        <w:t>亿元，净增</w:t>
      </w:r>
      <w:r>
        <w:rPr>
          <w:rFonts w:hint="default" w:ascii="Times New Roman" w:hAnsi="Times New Roman" w:eastAsia="仿宋_GB2312" w:cs="Times New Roman"/>
          <w:color w:val="auto"/>
          <w:kern w:val="0"/>
          <w:sz w:val="32"/>
          <w:szCs w:val="32"/>
          <w:highlight w:val="none"/>
          <w:lang w:val="en-US" w:eastAsia="zh-CN" w:bidi="ar"/>
        </w:rPr>
        <w:t>11.8</w:t>
      </w:r>
      <w:r>
        <w:rPr>
          <w:rFonts w:hint="default" w:ascii="Times New Roman" w:hAnsi="Times New Roman" w:eastAsia="仿宋_GB2312" w:cs="Times New Roman"/>
          <w:color w:val="auto"/>
          <w:kern w:val="0"/>
          <w:sz w:val="32"/>
          <w:szCs w:val="32"/>
          <w:highlight w:val="none"/>
          <w:lang w:bidi="ar"/>
        </w:rPr>
        <w:t>亿元。不良贷款率为</w:t>
      </w:r>
      <w:r>
        <w:rPr>
          <w:rFonts w:hint="default" w:ascii="Times New Roman" w:hAnsi="Times New Roman" w:eastAsia="仿宋_GB2312" w:cs="Times New Roman"/>
          <w:color w:val="auto"/>
          <w:kern w:val="0"/>
          <w:sz w:val="32"/>
          <w:szCs w:val="32"/>
          <w:highlight w:val="none"/>
          <w:lang w:val="en-US" w:eastAsia="zh-CN" w:bidi="ar"/>
        </w:rPr>
        <w:t>0.51</w:t>
      </w:r>
      <w:r>
        <w:rPr>
          <w:rFonts w:hint="default" w:ascii="Times New Roman" w:hAnsi="Times New Roman" w:eastAsia="仿宋_GB2312" w:cs="Times New Roman"/>
          <w:color w:val="auto"/>
          <w:kern w:val="0"/>
          <w:sz w:val="32"/>
          <w:szCs w:val="32"/>
          <w:highlight w:val="none"/>
          <w:lang w:bidi="ar"/>
        </w:rPr>
        <w:t>%</w:t>
      </w:r>
      <w:r>
        <w:rPr>
          <w:rFonts w:hint="default" w:ascii="Times New Roman" w:hAnsi="Times New Roman" w:eastAsia="仿宋_GB2312" w:cs="Times New Roman"/>
          <w:color w:val="auto"/>
          <w:kern w:val="0"/>
          <w:sz w:val="32"/>
          <w:szCs w:val="32"/>
          <w:highlight w:val="none"/>
          <w:lang w:eastAsia="zh-CN" w:bidi="ar"/>
        </w:rPr>
        <w:t>（年初</w:t>
      </w:r>
      <w:r>
        <w:rPr>
          <w:rFonts w:hint="default" w:ascii="Times New Roman" w:hAnsi="Times New Roman" w:eastAsia="仿宋_GB2312" w:cs="Times New Roman"/>
          <w:color w:val="auto"/>
          <w:kern w:val="0"/>
          <w:sz w:val="32"/>
          <w:szCs w:val="32"/>
          <w:highlight w:val="none"/>
          <w:lang w:bidi="ar"/>
        </w:rPr>
        <w:t>不良贷款率</w:t>
      </w:r>
      <w:r>
        <w:rPr>
          <w:rFonts w:hint="default" w:ascii="Times New Roman" w:hAnsi="Times New Roman" w:eastAsia="仿宋_GB2312" w:cs="Times New Roman"/>
          <w:color w:val="auto"/>
          <w:kern w:val="0"/>
          <w:sz w:val="32"/>
          <w:szCs w:val="32"/>
          <w:highlight w:val="none"/>
          <w:lang w:eastAsia="zh-CN" w:bidi="ar"/>
        </w:rPr>
        <w:t>为0.91%）</w:t>
      </w:r>
      <w:r>
        <w:rPr>
          <w:rFonts w:hint="default" w:ascii="Times New Roman" w:hAnsi="Times New Roman" w:eastAsia="仿宋_GB2312" w:cs="Times New Roman"/>
          <w:color w:val="auto"/>
          <w:kern w:val="0"/>
          <w:sz w:val="32"/>
          <w:szCs w:val="32"/>
          <w:highlight w:val="none"/>
          <w:lang w:bidi="ar"/>
        </w:rPr>
        <w:t>。金融机构税收</w:t>
      </w:r>
      <w:r>
        <w:rPr>
          <w:rFonts w:hint="default" w:ascii="Times New Roman" w:hAnsi="Times New Roman" w:eastAsia="仿宋_GB2312" w:cs="Times New Roman"/>
          <w:color w:val="auto"/>
          <w:kern w:val="0"/>
          <w:sz w:val="32"/>
          <w:szCs w:val="32"/>
          <w:highlight w:val="none"/>
          <w:lang w:val="en-US" w:eastAsia="zh-CN" w:bidi="ar"/>
        </w:rPr>
        <w:t>4.15</w:t>
      </w:r>
      <w:r>
        <w:rPr>
          <w:rFonts w:hint="default" w:ascii="Times New Roman" w:hAnsi="Times New Roman" w:eastAsia="仿宋_GB2312" w:cs="Times New Roman"/>
          <w:color w:val="auto"/>
          <w:kern w:val="0"/>
          <w:sz w:val="32"/>
          <w:szCs w:val="32"/>
          <w:highlight w:val="none"/>
          <w:lang w:bidi="ar"/>
        </w:rPr>
        <w:t>亿元</w:t>
      </w:r>
      <w:r>
        <w:rPr>
          <w:rFonts w:hint="default" w:ascii="Times New Roman" w:hAnsi="Times New Roman" w:eastAsia="仿宋_GB2312" w:cs="Times New Roman"/>
          <w:kern w:val="0"/>
          <w:sz w:val="32"/>
          <w:szCs w:val="32"/>
          <w:lang w:bidi="ar"/>
        </w:rPr>
        <w:t>。为全市经济社会持续健康发展提供了有力支撑。</w:t>
      </w:r>
      <w:r>
        <w:rPr>
          <w:rFonts w:hint="default" w:ascii="Times New Roman" w:hAnsi="Times New Roman" w:eastAsia="仿宋_GB2312" w:cs="Times New Roman"/>
          <w:b w:val="0"/>
          <w:bCs/>
          <w:sz w:val="32"/>
          <w:szCs w:val="32"/>
        </w:rPr>
        <w:t>转贷资金安全高效</w:t>
      </w:r>
      <w:r>
        <w:rPr>
          <w:rFonts w:hint="default" w:ascii="Times New Roman" w:hAnsi="Times New Roman" w:eastAsia="仿宋_GB2312" w:cs="Times New Roman"/>
          <w:b w:val="0"/>
          <w:bCs/>
          <w:sz w:val="32"/>
          <w:szCs w:val="32"/>
          <w:lang w:eastAsia="zh-CN"/>
        </w:rPr>
        <w:t>，</w:t>
      </w:r>
      <w:r>
        <w:rPr>
          <w:rFonts w:hint="default" w:ascii="Times New Roman" w:hAnsi="Times New Roman" w:eastAsia="仿宋_GB2312" w:cs="Times New Roman"/>
          <w:kern w:val="0"/>
          <w:sz w:val="32"/>
          <w:szCs w:val="32"/>
          <w:lang w:bidi="ar"/>
        </w:rPr>
        <w:t>根据产业发展现实需要，修订并印发</w:t>
      </w:r>
      <w:r>
        <w:rPr>
          <w:rFonts w:hint="default" w:ascii="Times New Roman" w:hAnsi="Times New Roman" w:eastAsia="仿宋_GB2312" w:cs="Times New Roman"/>
          <w:sz w:val="32"/>
          <w:szCs w:val="32"/>
        </w:rPr>
        <w:t>《宁乡市转贷应急周转资金管理办法》（宁政办发</w:t>
      </w:r>
      <w:r>
        <w:rPr>
          <w:rFonts w:hint="default" w:ascii="Times New Roman" w:hAnsi="Times New Roman" w:eastAsia="仿宋_GB2312" w:cs="Times New Roman"/>
          <w:kern w:val="0"/>
          <w:sz w:val="32"/>
          <w:szCs w:val="32"/>
          <w:lang w:bidi="ar"/>
        </w:rPr>
        <w:t>〔2020〕5号</w:t>
      </w:r>
      <w:r>
        <w:rPr>
          <w:rFonts w:hint="default" w:ascii="Times New Roman" w:hAnsi="Times New Roman" w:eastAsia="仿宋_GB2312" w:cs="Times New Roman"/>
          <w:sz w:val="32"/>
          <w:szCs w:val="32"/>
        </w:rPr>
        <w:t>）文件，将转贷企业范围扩展到工业、农业、商贸业。自2016年以来累计已开展转</w:t>
      </w:r>
      <w:r>
        <w:rPr>
          <w:rFonts w:hint="default" w:ascii="Times New Roman" w:hAnsi="Times New Roman" w:eastAsia="仿宋_GB2312" w:cs="Times New Roman"/>
          <w:color w:val="auto"/>
          <w:sz w:val="32"/>
          <w:szCs w:val="32"/>
        </w:rPr>
        <w:t>贷业务2</w:t>
      </w:r>
      <w:r>
        <w:rPr>
          <w:rFonts w:hint="default" w:ascii="Times New Roman" w:hAnsi="Times New Roman" w:eastAsia="仿宋_GB2312" w:cs="Times New Roman"/>
          <w:color w:val="auto"/>
          <w:sz w:val="32"/>
          <w:szCs w:val="32"/>
          <w:lang w:val="en-US" w:eastAsia="zh-CN"/>
        </w:rPr>
        <w:t>35</w:t>
      </w:r>
      <w:r>
        <w:rPr>
          <w:rFonts w:hint="default" w:ascii="Times New Roman" w:hAnsi="Times New Roman" w:eastAsia="仿宋_GB2312" w:cs="Times New Roman"/>
          <w:color w:val="auto"/>
          <w:sz w:val="32"/>
          <w:szCs w:val="32"/>
        </w:rPr>
        <w:t>笔，金额</w:t>
      </w:r>
      <w:r>
        <w:rPr>
          <w:rFonts w:hint="default" w:ascii="Times New Roman" w:hAnsi="Times New Roman" w:eastAsia="仿宋_GB2312" w:cs="Times New Roman"/>
          <w:color w:val="auto"/>
          <w:sz w:val="32"/>
          <w:szCs w:val="32"/>
          <w:lang w:val="en-US" w:eastAsia="zh-CN"/>
        </w:rPr>
        <w:t>19.31</w:t>
      </w:r>
      <w:r>
        <w:rPr>
          <w:rFonts w:hint="default" w:ascii="Times New Roman" w:hAnsi="Times New Roman" w:eastAsia="仿宋_GB2312" w:cs="Times New Roman"/>
          <w:color w:val="auto"/>
          <w:sz w:val="32"/>
          <w:szCs w:val="32"/>
        </w:rPr>
        <w:t>亿元，其中2020年开展</w:t>
      </w:r>
      <w:r>
        <w:rPr>
          <w:rFonts w:hint="default" w:ascii="Times New Roman" w:hAnsi="Times New Roman" w:eastAsia="仿宋_GB2312" w:cs="Times New Roman"/>
          <w:color w:val="auto"/>
          <w:sz w:val="32"/>
          <w:szCs w:val="32"/>
          <w:lang w:val="en-US" w:eastAsia="zh-CN"/>
        </w:rPr>
        <w:t>46</w:t>
      </w:r>
      <w:r>
        <w:rPr>
          <w:rFonts w:hint="default" w:ascii="Times New Roman" w:hAnsi="Times New Roman" w:eastAsia="仿宋_GB2312" w:cs="Times New Roman"/>
          <w:color w:val="auto"/>
          <w:sz w:val="32"/>
          <w:szCs w:val="32"/>
        </w:rPr>
        <w:t>笔，金额</w:t>
      </w:r>
      <w:r>
        <w:rPr>
          <w:rFonts w:hint="default" w:ascii="Times New Roman" w:hAnsi="Times New Roman" w:eastAsia="仿宋_GB2312" w:cs="Times New Roman"/>
          <w:color w:val="auto"/>
          <w:sz w:val="32"/>
          <w:szCs w:val="32"/>
          <w:lang w:val="en-US" w:eastAsia="zh-CN"/>
        </w:rPr>
        <w:t>4.56</w:t>
      </w:r>
      <w:r>
        <w:rPr>
          <w:rFonts w:hint="default" w:ascii="Times New Roman" w:hAnsi="Times New Roman" w:eastAsia="仿宋_GB2312" w:cs="Times New Roman"/>
          <w:color w:val="auto"/>
          <w:sz w:val="32"/>
          <w:szCs w:val="32"/>
        </w:rPr>
        <w:t>亿元</w:t>
      </w:r>
      <w:r>
        <w:rPr>
          <w:rFonts w:hint="default" w:ascii="Times New Roman" w:hAnsi="Times New Roman" w:eastAsia="仿宋_GB2312" w:cs="Times New Roman"/>
          <w:sz w:val="32"/>
          <w:szCs w:val="32"/>
        </w:rPr>
        <w:t>，有效把控了转贷风险，显著降低了企业资金“过桥”成本。</w:t>
      </w:r>
    </w:p>
    <w:p>
      <w:pPr>
        <w:keepNext w:val="0"/>
        <w:keepLines w:val="0"/>
        <w:pageBreakBefore w:val="0"/>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3．项目资金管理情况分析</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我</w:t>
      </w:r>
      <w:r>
        <w:rPr>
          <w:rFonts w:hint="default" w:ascii="Times New Roman" w:hAnsi="Times New Roman" w:eastAsia="仿宋_GB2312" w:cs="Times New Roman"/>
          <w:sz w:val="32"/>
          <w:szCs w:val="32"/>
        </w:rPr>
        <w:t>中心针对项目资金管理制定了《机关管理制度》，包含资金、资产、财务等方面具体的细节要求，结合相关政策、规定予以落实，总体执行情况良好。</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三、部门项目组织实施情况</w:t>
      </w:r>
    </w:p>
    <w:p>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（一）项目组织情况分析</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项目实施单位市金融事务中心财务管理制度健全，</w:t>
      </w:r>
      <w:r>
        <w:rPr>
          <w:rFonts w:hint="default" w:ascii="Times New Roman" w:hAnsi="Times New Roman" w:eastAsia="仿宋_GB2312" w:cs="Times New Roman"/>
          <w:sz w:val="32"/>
          <w:szCs w:val="32"/>
          <w:lang w:val="en-US" w:eastAsia="zh-CN"/>
        </w:rPr>
        <w:t>2020年</w:t>
      </w:r>
      <w:r>
        <w:rPr>
          <w:rFonts w:hint="default" w:ascii="Times New Roman" w:hAnsi="Times New Roman" w:eastAsia="仿宋_GB2312" w:cs="Times New Roman"/>
          <w:sz w:val="32"/>
          <w:szCs w:val="32"/>
        </w:rPr>
        <w:t>各项目组织过程合法合规，重大项目支出，由单位领导集体研究决定，采购过程严格按照《中华人民共和国政府采购法》、《中华人民共和国政府采购法实施条例》、《政府采购非招标采购方式管理办法》（财政部令第74号）、《政府采购货物和服务招标投标管理办法》（财政部令第87号）、《湖南省政府采购非公开招标采购方式审批管理办法》等有关规定进行招投标采购，经费使用严格按照项目的实施进度进行支付</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项目管理都有完整的审批程序和手续，无截留、挤占、挪用、虚列支出资金等情况。</w:t>
      </w:r>
    </w:p>
    <w:p>
      <w:pPr>
        <w:keepNext w:val="0"/>
        <w:keepLines w:val="0"/>
        <w:pageBreakBefore w:val="0"/>
        <w:numPr>
          <w:ilvl w:val="0"/>
          <w:numId w:val="0"/>
        </w:numPr>
        <w:kinsoku/>
        <w:wordWrap/>
        <w:overflowPunct/>
        <w:topLinePunct w:val="0"/>
        <w:autoSpaceDE/>
        <w:autoSpaceDN/>
        <w:bidi w:val="0"/>
        <w:spacing w:beforeAutospacing="0" w:afterAutospacing="0" w:line="560" w:lineRule="exact"/>
        <w:ind w:firstLine="643" w:firstLineChars="200"/>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（二）项目管理情况分析</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严格执行财经纪律，严格执行中央八项规定，反对四风、厉行节约，确保财政资金的安全有效支出。</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四、资产管理情况</w:t>
      </w:r>
    </w:p>
    <w:p>
      <w:pPr>
        <w:keepNext w:val="0"/>
        <w:keepLines w:val="0"/>
        <w:pageBreakBefore w:val="0"/>
        <w:kinsoku/>
        <w:wordWrap/>
        <w:overflowPunct/>
        <w:topLinePunct w:val="0"/>
        <w:autoSpaceDE/>
        <w:autoSpaceDN/>
        <w:bidi w:val="0"/>
        <w:spacing w:beforeAutospacing="0" w:afterAutospacing="0" w:line="560" w:lineRule="exact"/>
        <w:ind w:firstLine="640" w:firstLineChars="200"/>
        <w:jc w:val="left"/>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本单位年初固定资产</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27.79</w:t>
      </w:r>
      <w:r>
        <w:rPr>
          <w:rFonts w:hint="default" w:ascii="Times New Roman" w:hAnsi="Times New Roman" w:eastAsia="仿宋_GB2312" w:cs="Times New Roman"/>
          <w:color w:val="000000" w:themeColor="text1"/>
          <w:sz w:val="32"/>
          <w:szCs w:val="32"/>
          <w14:textFill>
            <w14:solidFill>
              <w14:schemeClr w14:val="tx1"/>
            </w14:solidFill>
          </w14:textFill>
        </w:rPr>
        <w:t>万元，年末固定资产原值27.79万元</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截至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到</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2020</w:t>
      </w:r>
      <w:r>
        <w:rPr>
          <w:rFonts w:hint="default" w:ascii="Times New Roman" w:hAnsi="Times New Roman" w:eastAsia="仿宋_GB2312" w:cs="Times New Roman"/>
          <w:color w:val="000000" w:themeColor="text1"/>
          <w:sz w:val="32"/>
          <w:szCs w:val="32"/>
          <w14:textFill>
            <w14:solidFill>
              <w14:schemeClr w14:val="tx1"/>
            </w14:solidFill>
          </w14:textFill>
        </w:rPr>
        <w:t>年12月31日固定资产净值</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9.04</w:t>
      </w:r>
      <w:r>
        <w:rPr>
          <w:rFonts w:hint="default" w:ascii="Times New Roman" w:hAnsi="Times New Roman" w:eastAsia="仿宋_GB2312" w:cs="Times New Roman"/>
          <w:color w:val="000000" w:themeColor="text1"/>
          <w:sz w:val="32"/>
          <w:szCs w:val="32"/>
          <w14:textFill>
            <w14:solidFill>
              <w14:schemeClr w14:val="tx1"/>
            </w14:solidFill>
          </w14:textFill>
        </w:rPr>
        <w:t>万元。本单位资产保存完整、使用合规、配置合理、处置规范，资产管理情况较好。</w:t>
      </w:r>
    </w:p>
    <w:p>
      <w:pPr>
        <w:pStyle w:val="4"/>
        <w:keepNext w:val="0"/>
        <w:keepLines w:val="0"/>
        <w:pageBreakBefore w:val="0"/>
        <w:widowControl/>
        <w:numPr>
          <w:ilvl w:val="0"/>
          <w:numId w:val="0"/>
        </w:numPr>
        <w:suppressLineNumbers w:val="0"/>
        <w:kinsoku/>
        <w:wordWrap/>
        <w:overflowPunct/>
        <w:topLinePunct w:val="0"/>
        <w:autoSpaceDE/>
        <w:autoSpaceDN/>
        <w:bidi w:val="0"/>
        <w:spacing w:beforeAutospacing="0" w:afterAutospacing="0" w:line="560" w:lineRule="exact"/>
        <w:ind w:right="0" w:rightChars="0"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五、部门整体支出绩效情况</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整体来看，市金融事务中心</w:t>
      </w:r>
      <w:r>
        <w:rPr>
          <w:rFonts w:hint="default" w:ascii="Times New Roman" w:hAnsi="Times New Roman" w:eastAsia="仿宋_GB2312" w:cs="Times New Roman"/>
          <w:sz w:val="32"/>
          <w:szCs w:val="32"/>
          <w:lang w:val="en-US" w:eastAsia="zh-CN"/>
        </w:rPr>
        <w:t>2020</w:t>
      </w:r>
      <w:r>
        <w:rPr>
          <w:rFonts w:hint="default" w:ascii="Times New Roman" w:hAnsi="Times New Roman" w:eastAsia="仿宋_GB2312" w:cs="Times New Roman"/>
          <w:sz w:val="32"/>
          <w:szCs w:val="32"/>
        </w:rPr>
        <w:t>年项目预算控制较好，特别是一般性支出节约程度较高，“三公经费”支出明显降低，进一步做到厉行节约，发挥了财政资金的最大经济效益</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color w:val="000000" w:themeColor="text1"/>
          <w:sz w:val="32"/>
          <w:szCs w:val="32"/>
          <w14:textFill>
            <w14:solidFill>
              <w14:schemeClr w14:val="tx1"/>
            </w14:solidFill>
          </w14:textFill>
        </w:rPr>
        <w:t>项目资金收入</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1163.7288</w:t>
      </w:r>
      <w:r>
        <w:rPr>
          <w:rFonts w:hint="default" w:ascii="Times New Roman" w:hAnsi="Times New Roman" w:eastAsia="仿宋_GB2312" w:cs="Times New Roman"/>
          <w:color w:val="000000" w:themeColor="text1"/>
          <w:sz w:val="32"/>
          <w:szCs w:val="32"/>
          <w14:textFill>
            <w14:solidFill>
              <w14:schemeClr w14:val="tx1"/>
            </w14:solidFill>
          </w14:textFill>
        </w:rPr>
        <w:t>万元，支出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1163.7288</w:t>
      </w:r>
      <w:r>
        <w:rPr>
          <w:rFonts w:hint="default" w:ascii="Times New Roman" w:hAnsi="Times New Roman" w:eastAsia="仿宋_GB2312" w:cs="Times New Roman"/>
          <w:color w:val="000000" w:themeColor="text1"/>
          <w:sz w:val="32"/>
          <w:szCs w:val="32"/>
          <w14:textFill>
            <w14:solidFill>
              <w14:schemeClr w14:val="tx1"/>
            </w14:solidFill>
          </w14:textFill>
        </w:rPr>
        <w:t>万元，全部为财政资金，资金到位率100%，实际使用率100%，</w:t>
      </w:r>
      <w:r>
        <w:rPr>
          <w:rFonts w:hint="default" w:ascii="Times New Roman" w:hAnsi="Times New Roman" w:eastAsia="仿宋_GB2312" w:cs="Times New Roman"/>
          <w:sz w:val="32"/>
          <w:szCs w:val="32"/>
          <w:lang w:val="en-US" w:eastAsia="zh-CN"/>
        </w:rPr>
        <w:t>2020年</w:t>
      </w:r>
      <w:r>
        <w:rPr>
          <w:rFonts w:hint="default" w:ascii="Times New Roman" w:hAnsi="Times New Roman" w:eastAsia="仿宋_GB2312" w:cs="Times New Roman"/>
          <w:sz w:val="32"/>
          <w:szCs w:val="32"/>
          <w:lang w:eastAsia="zh-CN"/>
        </w:rPr>
        <w:t>资金使用的效率性较高，</w:t>
      </w:r>
      <w:r>
        <w:rPr>
          <w:rFonts w:hint="default" w:ascii="Times New Roman" w:hAnsi="Times New Roman" w:eastAsia="仿宋_GB2312" w:cs="Times New Roman"/>
          <w:sz w:val="32"/>
          <w:szCs w:val="32"/>
        </w:rPr>
        <w:t>下阶段市金融事务中心将进一步完善单位各项制度，继续做好财政预决算、项目铺排、项目资金使用安排、项目成效跟踪等与绩效挂钩的各项流程，充分酝酿、严格把关，保障项目可持续发展</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六、存在的主要问题</w:t>
      </w:r>
    </w:p>
    <w:p>
      <w:pPr>
        <w:keepNext w:val="0"/>
        <w:keepLines w:val="0"/>
        <w:pageBreakBefore w:val="0"/>
        <w:kinsoku/>
        <w:wordWrap/>
        <w:overflowPunct/>
        <w:topLinePunct w:val="0"/>
        <w:autoSpaceDE/>
        <w:autoSpaceDN/>
        <w:bidi w:val="0"/>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无。</w:t>
      </w: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eastAsia="zh-CN"/>
        </w:rPr>
        <w:t>七、改进措施和有关建议</w:t>
      </w:r>
    </w:p>
    <w:p>
      <w:pPr>
        <w:keepNext w:val="0"/>
        <w:keepLines w:val="0"/>
        <w:pageBreakBefore w:val="0"/>
        <w:kinsoku/>
        <w:wordWrap/>
        <w:overflowPunct/>
        <w:topLinePunct w:val="0"/>
        <w:autoSpaceDE/>
        <w:autoSpaceDN/>
        <w:bidi w:val="0"/>
        <w:spacing w:beforeAutospacing="0" w:afterAutospacing="0"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无。</w:t>
      </w: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left="0" w:firstLine="420"/>
        <w:textAlignment w:val="auto"/>
        <w:rPr>
          <w:rFonts w:hint="default" w:ascii="Times New Roman" w:hAnsi="Times New Roman" w:eastAsia="仿宋_GB2312" w:cs="Times New Roman"/>
          <w:sz w:val="32"/>
          <w:szCs w:val="32"/>
          <w:lang w:eastAsia="zh-CN"/>
        </w:rPr>
      </w:pP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left="0" w:firstLine="420"/>
        <w:textAlignment w:val="auto"/>
        <w:rPr>
          <w:rFonts w:hint="default" w:ascii="Times New Roman" w:hAnsi="Times New Roman" w:eastAsia="仿宋_GB2312" w:cs="Times New Roman"/>
          <w:sz w:val="32"/>
          <w:szCs w:val="32"/>
          <w:lang w:eastAsia="zh-CN"/>
        </w:rPr>
      </w:pPr>
    </w:p>
    <w:p>
      <w:pPr>
        <w:pStyle w:val="4"/>
        <w:keepNext w:val="0"/>
        <w:keepLines w:val="0"/>
        <w:pageBreakBefore w:val="0"/>
        <w:widowControl/>
        <w:numPr>
          <w:ilvl w:val="0"/>
          <w:numId w:val="0"/>
        </w:numPr>
        <w:suppressLineNumbers w:val="0"/>
        <w:kinsoku/>
        <w:wordWrap/>
        <w:overflowPunct/>
        <w:topLinePunct w:val="0"/>
        <w:autoSpaceDE/>
        <w:autoSpaceDN/>
        <w:bidi w:val="0"/>
        <w:spacing w:beforeAutospacing="0" w:afterAutospacing="0" w:line="560" w:lineRule="exact"/>
        <w:ind w:leftChars="100" w:right="0" w:rightChars="0"/>
        <w:textAlignment w:val="auto"/>
        <w:rPr>
          <w:rFonts w:hint="default" w:ascii="Times New Roman" w:hAnsi="Times New Roman" w:eastAsia="仿宋_GB2312" w:cs="Times New Roman"/>
          <w:sz w:val="32"/>
          <w:szCs w:val="32"/>
          <w:lang w:eastAsia="zh-CN"/>
        </w:rPr>
      </w:pP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left="0" w:firstLine="42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spacing w:beforeAutospacing="0" w:afterAutospacing="0" w:line="56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kern w:val="0"/>
          <w:sz w:val="32"/>
          <w:szCs w:val="32"/>
          <w:lang w:bidi="ar"/>
        </w:rPr>
      </w:pPr>
    </w:p>
    <w:p>
      <w:pPr>
        <w:keepNext w:val="0"/>
        <w:keepLines w:val="0"/>
        <w:pageBreakBefore w:val="0"/>
        <w:kinsoku/>
        <w:wordWrap/>
        <w:overflowPunct/>
        <w:topLinePunct w:val="0"/>
        <w:autoSpaceDE/>
        <w:autoSpaceDN/>
        <w:bidi w:val="0"/>
        <w:spacing w:beforeAutospacing="0" w:afterAutospacing="0" w:line="560" w:lineRule="exact"/>
        <w:ind w:firstLine="640" w:firstLineChars="200"/>
        <w:textAlignment w:val="auto"/>
        <w:rPr>
          <w:rFonts w:hint="default" w:ascii="Times New Roman" w:hAnsi="Times New Roman" w:eastAsia="仿宋_GB2312" w:cs="Times New Roman"/>
          <w:kern w:val="0"/>
          <w:sz w:val="32"/>
          <w:szCs w:val="32"/>
          <w:lang w:bidi="ar"/>
        </w:rPr>
      </w:pP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left="0" w:firstLine="420"/>
        <w:textAlignment w:val="auto"/>
        <w:rPr>
          <w:rFonts w:hint="default" w:ascii="Times New Roman" w:hAnsi="Times New Roman" w:eastAsia="仿宋_GB2312" w:cs="Times New Roman"/>
          <w:sz w:val="32"/>
          <w:szCs w:val="32"/>
          <w:lang w:eastAsia="zh-CN"/>
        </w:rPr>
      </w:pPr>
    </w:p>
    <w:p>
      <w:pPr>
        <w:pStyle w:val="4"/>
        <w:keepNext w:val="0"/>
        <w:keepLines w:val="0"/>
        <w:pageBreakBefore w:val="0"/>
        <w:widowControl/>
        <w:suppressLineNumbers w:val="0"/>
        <w:kinsoku/>
        <w:wordWrap/>
        <w:overflowPunct/>
        <w:topLinePunct w:val="0"/>
        <w:autoSpaceDE/>
        <w:autoSpaceDN/>
        <w:bidi w:val="0"/>
        <w:spacing w:beforeAutospacing="0" w:afterAutospacing="0" w:line="560" w:lineRule="exact"/>
        <w:ind w:left="0" w:firstLine="960" w:firstLineChars="300"/>
        <w:textAlignment w:val="auto"/>
        <w:rPr>
          <w:rFonts w:hint="default" w:ascii="Times New Roman" w:hAnsi="Times New Roman" w:eastAsia="仿宋_GB2312" w:cs="Times New Roman"/>
          <w:sz w:val="32"/>
          <w:szCs w:val="32"/>
        </w:rPr>
      </w:pPr>
    </w:p>
    <w:p>
      <w:pPr>
        <w:pStyle w:val="4"/>
        <w:keepNext w:val="0"/>
        <w:keepLines w:val="0"/>
        <w:pageBreakBefore w:val="0"/>
        <w:widowControl/>
        <w:numPr>
          <w:ilvl w:val="0"/>
          <w:numId w:val="0"/>
        </w:numPr>
        <w:suppressLineNumbers w:val="0"/>
        <w:kinsoku/>
        <w:wordWrap/>
        <w:overflowPunct/>
        <w:topLinePunct w:val="0"/>
        <w:autoSpaceDE/>
        <w:autoSpaceDN/>
        <w:bidi w:val="0"/>
        <w:spacing w:beforeAutospacing="0" w:afterAutospacing="0" w:line="560" w:lineRule="exact"/>
        <w:ind w:leftChars="100" w:right="0" w:rightChars="0"/>
        <w:textAlignment w:val="auto"/>
        <w:rPr>
          <w:rFonts w:hint="default" w:ascii="Times New Roman" w:hAnsi="Times New Roman" w:eastAsia="仿宋_GB2312" w:cs="Times New Roman"/>
          <w:sz w:val="32"/>
          <w:szCs w:val="32"/>
        </w:rPr>
      </w:pPr>
    </w:p>
    <w:p>
      <w:pPr>
        <w:keepNext w:val="0"/>
        <w:keepLines w:val="0"/>
        <w:pageBreakBefore w:val="0"/>
        <w:numPr>
          <w:ilvl w:val="0"/>
          <w:numId w:val="0"/>
        </w:numPr>
        <w:kinsoku/>
        <w:wordWrap/>
        <w:overflowPunct/>
        <w:topLinePunct w:val="0"/>
        <w:autoSpaceDE/>
        <w:autoSpaceDN/>
        <w:bidi w:val="0"/>
        <w:spacing w:beforeAutospacing="0" w:afterAutospacing="0" w:line="560" w:lineRule="exact"/>
        <w:ind w:leftChars="0"/>
        <w:textAlignment w:val="auto"/>
        <w:rPr>
          <w:rFonts w:hint="default" w:ascii="Times New Roman" w:hAnsi="Times New Roman" w:eastAsia="仿宋_GB2312" w:cs="Times New Roman"/>
          <w:b w:val="0"/>
          <w:bCs w:val="0"/>
          <w:sz w:val="32"/>
          <w:szCs w:val="32"/>
          <w:lang w:eastAsia="zh-CN"/>
        </w:rPr>
      </w:pPr>
    </w:p>
    <w:sectPr>
      <w:footerReference r:id="rId3" w:type="default"/>
      <w:pgSz w:w="11906" w:h="16838"/>
      <w:pgMar w:top="1701" w:right="1701" w:bottom="1417"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imes New Roman" w:hAnsi="Times New Roman" w:cs="Times New Roman" w:eastAsiaTheme="minorEastAsia"/>
                              <w:sz w:val="24"/>
                              <w:szCs w:val="24"/>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Times New Roman" w:hAnsi="Times New Roman" w:cs="Times New Roman" w:eastAsiaTheme="minorEastAsia"/>
                        <w:sz w:val="24"/>
                        <w:szCs w:val="24"/>
                        <w:lang w:eastAsia="zh-CN"/>
                      </w:rPr>
                    </w:pPr>
                    <w:r>
                      <w:rPr>
                        <w:rFonts w:hint="eastAsia" w:ascii="Times New Roman" w:hAnsi="Times New Roman" w:cs="Times New Roman"/>
                        <w:sz w:val="24"/>
                        <w:szCs w:val="24"/>
                        <w:lang w:eastAsia="zh-CN"/>
                      </w:rPr>
                      <w:t>—</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eastAsia" w:ascii="Times New Roman" w:hAnsi="Times New Roman" w:cs="Times New Roman"/>
                        <w:sz w:val="24"/>
                        <w:szCs w:val="24"/>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xYjVmYWEyZDFjYTg2NjNjMzRmN2FhMDk2NDcyMmMifQ=="/>
  </w:docVars>
  <w:rsids>
    <w:rsidRoot w:val="00000000"/>
    <w:rsid w:val="034A184C"/>
    <w:rsid w:val="07896C68"/>
    <w:rsid w:val="14302414"/>
    <w:rsid w:val="21303304"/>
    <w:rsid w:val="26DA22FD"/>
    <w:rsid w:val="27B509DF"/>
    <w:rsid w:val="33AE15C2"/>
    <w:rsid w:val="342F69C5"/>
    <w:rsid w:val="38412C3F"/>
    <w:rsid w:val="45423BB9"/>
    <w:rsid w:val="55F53D14"/>
    <w:rsid w:val="665B31ED"/>
    <w:rsid w:val="6ACE71C9"/>
    <w:rsid w:val="73B87C0A"/>
    <w:rsid w:val="79E770FC"/>
    <w:rsid w:val="7DE350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3054</Words>
  <Characters>3451</Characters>
  <Lines>0</Lines>
  <Paragraphs>0</Paragraphs>
  <TotalTime>3</TotalTime>
  <ScaleCrop>false</ScaleCrop>
  <LinksUpToDate>false</LinksUpToDate>
  <CharactersWithSpaces>3453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2021-03-23T03:16:00Z</dcterms:created>
  <dc:creator>Administrator</dc:creator>
  <cp:lastModifiedBy>class辉</cp:lastModifiedBy>
  <dcterms:modified xsi:type="dcterms:W3CDTF">2022-06-08T06:31:57Z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0B5A41BB690540A5AA4DACAA75B81C51</vt:lpwstr>
  </property>
  <property fmtid="{D5CDD505-2E9C-101B-9397-08002B2CF9AE}" pid="4" name="KSOSaveFontToCloudKey">
    <vt:lpwstr>886116085_btnclosed</vt:lpwstr>
  </property>
</Properties>
</file>