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eastAsia="方正小标宋简体"/>
          <w:b/>
          <w:kern w:val="0"/>
          <w:sz w:val="44"/>
          <w:szCs w:val="44"/>
        </w:rPr>
      </w:pPr>
      <w:r>
        <w:rPr>
          <w:rFonts w:hint="eastAsia" w:eastAsia="方正小标宋简体"/>
          <w:b/>
          <w:kern w:val="0"/>
          <w:sz w:val="44"/>
          <w:szCs w:val="44"/>
        </w:rPr>
        <w:t>中共宁乡市委机构编制委员会办公室</w:t>
      </w:r>
    </w:p>
    <w:p>
      <w:pPr>
        <w:widowControl/>
        <w:spacing w:line="600" w:lineRule="exact"/>
        <w:ind w:left="91"/>
        <w:jc w:val="center"/>
        <w:rPr>
          <w:rFonts w:eastAsia="方正小标宋简体"/>
          <w:b/>
          <w:kern w:val="0"/>
          <w:sz w:val="44"/>
          <w:szCs w:val="44"/>
        </w:rPr>
      </w:pPr>
      <w:r>
        <w:rPr>
          <w:rFonts w:hint="eastAsia" w:eastAsia="方正小标宋简体"/>
          <w:b/>
          <w:kern w:val="0"/>
          <w:sz w:val="44"/>
          <w:szCs w:val="44"/>
        </w:rPr>
        <w:t>2020年部门</w:t>
      </w:r>
      <w:r>
        <w:rPr>
          <w:rFonts w:eastAsia="方正小标宋简体"/>
          <w:b/>
          <w:kern w:val="0"/>
          <w:sz w:val="44"/>
          <w:szCs w:val="44"/>
        </w:rPr>
        <w:t>整体支出绩效</w:t>
      </w:r>
      <w:r>
        <w:rPr>
          <w:rFonts w:hint="eastAsia" w:eastAsia="方正小标宋简体"/>
          <w:b/>
          <w:kern w:val="0"/>
          <w:sz w:val="44"/>
          <w:szCs w:val="44"/>
        </w:rPr>
        <w:t>自评</w:t>
      </w:r>
      <w:r>
        <w:rPr>
          <w:rFonts w:eastAsia="方正小标宋简体"/>
          <w:b/>
          <w:kern w:val="0"/>
          <w:sz w:val="44"/>
          <w:szCs w:val="44"/>
        </w:rPr>
        <w:t>报告</w:t>
      </w:r>
    </w:p>
    <w:p>
      <w:pPr>
        <w:widowControl/>
        <w:spacing w:line="600" w:lineRule="exact"/>
        <w:ind w:left="91"/>
        <w:jc w:val="center"/>
        <w:rPr>
          <w:rFonts w:eastAsia="方正小标宋简体"/>
          <w:b/>
          <w:kern w:val="0"/>
          <w:sz w:val="44"/>
          <w:szCs w:val="44"/>
        </w:rPr>
      </w:pPr>
    </w:p>
    <w:p>
      <w:pPr>
        <w:spacing w:line="600" w:lineRule="exact"/>
        <w:ind w:firstLine="630" w:firstLineChars="196"/>
        <w:jc w:val="left"/>
        <w:rPr>
          <w:rFonts w:hint="eastAsia" w:ascii="宋体" w:hAnsi="宋体" w:eastAsia="宋体" w:cs="宋体"/>
          <w:b/>
          <w:bCs/>
          <w:sz w:val="32"/>
          <w:szCs w:val="32"/>
        </w:rPr>
      </w:pPr>
      <w:r>
        <w:rPr>
          <w:rFonts w:hint="eastAsia" w:ascii="宋体" w:hAnsi="宋体" w:eastAsia="宋体" w:cs="宋体"/>
          <w:b/>
          <w:bCs/>
          <w:sz w:val="32"/>
          <w:szCs w:val="32"/>
        </w:rPr>
        <w:t>一、部门概况</w:t>
      </w:r>
    </w:p>
    <w:p>
      <w:pPr>
        <w:spacing w:line="600" w:lineRule="exact"/>
        <w:ind w:firstLine="630" w:firstLineChars="196"/>
        <w:jc w:val="left"/>
        <w:rPr>
          <w:rFonts w:hint="eastAsia" w:ascii="宋体" w:hAnsi="宋体" w:eastAsia="宋体" w:cs="宋体"/>
          <w:b/>
          <w:bCs/>
          <w:sz w:val="32"/>
          <w:szCs w:val="32"/>
        </w:rPr>
      </w:pPr>
      <w:r>
        <w:rPr>
          <w:rFonts w:hint="eastAsia" w:ascii="宋体" w:hAnsi="宋体" w:eastAsia="宋体" w:cs="宋体"/>
          <w:b/>
          <w:bCs/>
          <w:sz w:val="32"/>
          <w:szCs w:val="32"/>
        </w:rPr>
        <w:t>（一）部门基本情况</w:t>
      </w:r>
    </w:p>
    <w:p>
      <w:pPr>
        <w:keepNext w:val="0"/>
        <w:keepLines w:val="0"/>
        <w:pageBreakBefore w:val="0"/>
        <w:widowControl w:val="0"/>
        <w:kinsoku/>
        <w:wordWrap/>
        <w:overflowPunct/>
        <w:topLinePunct w:val="0"/>
        <w:autoSpaceDE/>
        <w:autoSpaceDN/>
        <w:bidi w:val="0"/>
        <w:adjustRightInd/>
        <w:snapToGrid/>
        <w:spacing w:line="580" w:lineRule="atLeast"/>
        <w:ind w:firstLine="360" w:firstLineChars="112"/>
        <w:jc w:val="left"/>
        <w:textAlignment w:val="auto"/>
        <w:rPr>
          <w:rFonts w:hint="eastAsia" w:ascii="仿宋" w:hAnsi="仿宋" w:eastAsia="仿宋" w:cs="仿宋"/>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rPr>
        <w:t>1</w:t>
      </w:r>
      <w:r>
        <w:rPr>
          <w:rFonts w:hint="eastAsia" w:ascii="仿宋" w:hAnsi="仿宋" w:eastAsia="仿宋" w:cs="仿宋"/>
          <w:b/>
          <w:bCs/>
          <w:sz w:val="32"/>
          <w:szCs w:val="32"/>
          <w:lang w:eastAsia="zh-CN"/>
        </w:rPr>
        <w:t>）</w:t>
      </w:r>
      <w:r>
        <w:rPr>
          <w:rFonts w:hint="eastAsia" w:ascii="仿宋" w:hAnsi="仿宋" w:eastAsia="仿宋" w:cs="仿宋"/>
          <w:sz w:val="32"/>
          <w:szCs w:val="32"/>
        </w:rPr>
        <w:t>机构设置</w:t>
      </w:r>
    </w:p>
    <w:p>
      <w:pPr>
        <w:keepNext w:val="0"/>
        <w:keepLines w:val="0"/>
        <w:pageBreakBefore w:val="0"/>
        <w:widowControl w:val="0"/>
        <w:kinsoku/>
        <w:wordWrap/>
        <w:overflowPunct/>
        <w:topLinePunct w:val="0"/>
        <w:autoSpaceDE/>
        <w:autoSpaceDN/>
        <w:bidi w:val="0"/>
        <w:adjustRightInd/>
        <w:snapToGrid/>
        <w:spacing w:line="580" w:lineRule="atLeast"/>
        <w:ind w:firstLine="358" w:firstLineChars="112"/>
        <w:jc w:val="left"/>
        <w:textAlignment w:val="auto"/>
        <w:rPr>
          <w:rFonts w:hint="eastAsia" w:ascii="仿宋" w:hAnsi="仿宋" w:eastAsia="仿宋" w:cs="仿宋"/>
          <w:sz w:val="32"/>
          <w:szCs w:val="32"/>
        </w:rPr>
      </w:pPr>
      <w:r>
        <w:rPr>
          <w:rFonts w:hint="eastAsia" w:ascii="仿宋" w:hAnsi="仿宋" w:eastAsia="仿宋" w:cs="仿宋"/>
          <w:sz w:val="32"/>
          <w:szCs w:val="32"/>
        </w:rPr>
        <w:t>中共宁乡市委机构编制委员会办公室为中共宁乡市委机构编制委员会的办事机构，为市委工作机关。单位内设科室5个。下设宁乡市机构编制电子政务中心，行政编制11个，工勤编制1个，全额事业编制5个。2020年12月实有在职正式干部职工15人，退休5人，遗属人员1人。</w:t>
      </w:r>
    </w:p>
    <w:p>
      <w:pPr>
        <w:keepNext w:val="0"/>
        <w:keepLines w:val="0"/>
        <w:pageBreakBefore w:val="0"/>
        <w:widowControl w:val="0"/>
        <w:kinsoku/>
        <w:wordWrap/>
        <w:overflowPunct/>
        <w:topLinePunct w:val="0"/>
        <w:autoSpaceDE/>
        <w:autoSpaceDN/>
        <w:bidi w:val="0"/>
        <w:adjustRightInd/>
        <w:snapToGrid/>
        <w:spacing w:line="580" w:lineRule="atLeast"/>
        <w:ind w:firstLine="358" w:firstLineChars="112"/>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职能职责</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负责处理市委机构编制委员会日常事务，协调督促相关单位落实市委机构编制委员会的决定事项、工作部署和要求。研究拟订全市机构编制工作规划和具体管理办法并组织实施。负责全市党政机关，人大、政协机关，各民主党派、人民团体机关以及事业单位的机构编制工作。</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研究拟订行政管理体制改革和机构改革总体方案，经批准后组织实施。负责审核市委、市政府工作部门，人大、政协机关，各民主党派、人民团体机关和乡镇（街道）机关的内设机构、人员编制和领导职数。</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研究拟订事业管理体制和机构改革方案，经批准后组织实施。负责审核市委、市政府直属事业单位的内设机构、人员编制、领导职数和各级各类事业单位的机构设置、机构级别、业务范围、人员编制。</w:t>
      </w:r>
    </w:p>
    <w:p>
      <w:pPr>
        <w:keepNext w:val="0"/>
        <w:keepLines w:val="0"/>
        <w:pageBreakBefore w:val="0"/>
        <w:widowControl w:val="0"/>
        <w:kinsoku/>
        <w:wordWrap/>
        <w:overflowPunct/>
        <w:topLinePunct w:val="0"/>
        <w:autoSpaceDE/>
        <w:autoSpaceDN/>
        <w:bidi w:val="0"/>
        <w:adjustRightInd/>
        <w:snapToGrid/>
        <w:spacing w:line="58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负责协调市委、市政府部门的职责配置及调整工作，协调全市各部门之间的事权划分和职责分工。</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负责全市机关事业单位机构编制实名制管理工作；负责全市机构编制统计工作；负责机构编制电子政务工作。</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负责编制与经费预算的衔接工作；负责机关事业单位财政统发工资的人员审核。</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负责审核全市机关事业单位人编制使用计划;负责审核全市编外聘用人员员额。</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依法依规对全市事业单位进行登记管理、检查审核。按权限管理统一社会信用代码赋码工作。负责全市机关事业单位域名和互联网网站标识管理工作。负责事业单位的公章管理。</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监督检查全市机关事业单位机构编制管理及机构改革方案的执行情况。</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负责市本级议事协调机构的审核。</w:t>
      </w:r>
    </w:p>
    <w:p>
      <w:pPr>
        <w:keepNext w:val="0"/>
        <w:keepLines w:val="0"/>
        <w:pageBreakBefore w:val="0"/>
        <w:widowControl w:val="0"/>
        <w:kinsoku/>
        <w:wordWrap/>
        <w:overflowPunct/>
        <w:topLinePunct w:val="0"/>
        <w:autoSpaceDE/>
        <w:autoSpaceDN/>
        <w:bidi w:val="0"/>
        <w:adjustRightInd/>
        <w:snapToGrid/>
        <w:spacing w:line="580" w:lineRule="atLeast"/>
        <w:ind w:firstLine="675" w:firstLineChars="211"/>
        <w:jc w:val="left"/>
        <w:textAlignment w:val="auto"/>
        <w:rPr>
          <w:rFonts w:hint="eastAsia" w:ascii="仿宋" w:hAnsi="仿宋" w:eastAsia="仿宋" w:cs="仿宋"/>
          <w:sz w:val="32"/>
          <w:szCs w:val="32"/>
        </w:rPr>
      </w:pPr>
      <w:r>
        <w:rPr>
          <w:rFonts w:hint="eastAsia" w:ascii="仿宋" w:hAnsi="仿宋" w:eastAsia="仿宋" w:cs="仿宋"/>
          <w:sz w:val="32"/>
          <w:szCs w:val="32"/>
        </w:rPr>
        <w:t>完成市委、市人民政府交办的其他任务。</w:t>
      </w:r>
    </w:p>
    <w:p>
      <w:pPr>
        <w:keepNext w:val="0"/>
        <w:keepLines w:val="0"/>
        <w:pageBreakBefore w:val="0"/>
        <w:widowControl w:val="0"/>
        <w:kinsoku/>
        <w:wordWrap/>
        <w:overflowPunct/>
        <w:topLinePunct w:val="0"/>
        <w:autoSpaceDE/>
        <w:autoSpaceDN/>
        <w:bidi w:val="0"/>
        <w:adjustRightInd/>
        <w:snapToGrid/>
        <w:spacing w:line="580" w:lineRule="atLeast"/>
        <w:ind w:firstLine="358" w:firstLineChars="112"/>
        <w:jc w:val="left"/>
        <w:textAlignment w:val="auto"/>
        <w:rPr>
          <w:rFonts w:hint="eastAsia" w:ascii="仿宋" w:hAnsi="仿宋" w:eastAsia="仿宋" w:cs="仿宋"/>
          <w:sz w:val="32"/>
          <w:szCs w:val="32"/>
        </w:rPr>
      </w:pPr>
      <w:r>
        <w:rPr>
          <w:rFonts w:hint="eastAsia" w:ascii="仿宋" w:hAnsi="仿宋" w:eastAsia="仿宋" w:cs="仿宋"/>
          <w:sz w:val="32"/>
          <w:szCs w:val="32"/>
        </w:rPr>
        <w:t>（二）部门整体支出规模、使用方向和主要内容、涉及范围等。</w:t>
      </w:r>
    </w:p>
    <w:p>
      <w:pPr>
        <w:keepNext w:val="0"/>
        <w:keepLines w:val="0"/>
        <w:pageBreakBefore w:val="0"/>
        <w:widowControl w:val="0"/>
        <w:kinsoku/>
        <w:wordWrap/>
        <w:overflowPunct/>
        <w:topLinePunct w:val="0"/>
        <w:autoSpaceDE/>
        <w:autoSpaceDN/>
        <w:bidi w:val="0"/>
        <w:adjustRightInd/>
        <w:snapToGrid/>
        <w:spacing w:line="580" w:lineRule="atLeast"/>
        <w:ind w:firstLine="358" w:firstLineChars="112"/>
        <w:textAlignment w:val="auto"/>
        <w:rPr>
          <w:rFonts w:hint="eastAsia" w:ascii="仿宋" w:hAnsi="仿宋" w:eastAsia="仿宋" w:cs="仿宋"/>
          <w:sz w:val="32"/>
          <w:szCs w:val="32"/>
        </w:rPr>
      </w:pPr>
      <w:r>
        <w:rPr>
          <w:rFonts w:hint="eastAsia" w:ascii="仿宋" w:hAnsi="仿宋" w:eastAsia="仿宋" w:cs="仿宋"/>
          <w:sz w:val="32"/>
          <w:szCs w:val="32"/>
        </w:rPr>
        <w:t>2020年部门支出总计335.99万元，其中：基本支出</w:t>
      </w:r>
      <w:r>
        <w:rPr>
          <w:rFonts w:hint="eastAsia" w:ascii="仿宋" w:hAnsi="仿宋" w:eastAsia="仿宋" w:cs="仿宋"/>
          <w:color w:val="000000"/>
          <w:kern w:val="0"/>
          <w:sz w:val="32"/>
          <w:szCs w:val="32"/>
        </w:rPr>
        <w:t>274.98</w:t>
      </w:r>
      <w:r>
        <w:rPr>
          <w:rFonts w:hint="eastAsia" w:ascii="仿宋" w:hAnsi="仿宋" w:eastAsia="仿宋" w:cs="仿宋"/>
          <w:sz w:val="32"/>
          <w:szCs w:val="32"/>
        </w:rPr>
        <w:t>万元，主要包括人员经费241.52万元和日常公用经费33.46万元；项目支出61.01万元，主要用于各项目的开支。</w:t>
      </w:r>
    </w:p>
    <w:p>
      <w:pPr>
        <w:ind w:firstLine="643" w:firstLineChars="200"/>
        <w:rPr>
          <w:rFonts w:hint="eastAsia" w:ascii="宋体" w:hAnsi="宋体" w:eastAsia="宋体" w:cs="宋体"/>
          <w:b/>
          <w:bCs/>
          <w:sz w:val="32"/>
          <w:szCs w:val="32"/>
        </w:rPr>
      </w:pPr>
    </w:p>
    <w:p>
      <w:pPr>
        <w:ind w:firstLine="643" w:firstLineChars="200"/>
        <w:rPr>
          <w:rFonts w:ascii="黑体" w:hAnsi="黑体" w:eastAsia="黑体" w:cs="黑体"/>
          <w:sz w:val="28"/>
          <w:szCs w:val="28"/>
        </w:rPr>
      </w:pPr>
      <w:r>
        <w:rPr>
          <w:rFonts w:hint="eastAsia" w:ascii="宋体" w:hAnsi="宋体" w:eastAsia="宋体" w:cs="宋体"/>
          <w:b/>
          <w:bCs/>
          <w:sz w:val="32"/>
          <w:szCs w:val="32"/>
        </w:rPr>
        <w:t>二、部门整体支出管理及使用情况</w:t>
      </w:r>
    </w:p>
    <w:p>
      <w:pPr>
        <w:keepNext w:val="0"/>
        <w:keepLines w:val="0"/>
        <w:pageBreakBefore w:val="0"/>
        <w:widowControl w:val="0"/>
        <w:kinsoku/>
        <w:wordWrap/>
        <w:overflowPunct/>
        <w:topLinePunct w:val="0"/>
        <w:autoSpaceDE/>
        <w:autoSpaceDN/>
        <w:bidi w:val="0"/>
        <w:adjustRightInd/>
        <w:snapToGrid/>
        <w:spacing w:line="580" w:lineRule="atLeast"/>
        <w:ind w:firstLine="358" w:firstLineChars="112"/>
        <w:textAlignment w:val="auto"/>
        <w:rPr>
          <w:rFonts w:hint="eastAsia" w:ascii="仿宋" w:hAnsi="仿宋" w:eastAsia="仿宋" w:cs="仿宋"/>
          <w:sz w:val="32"/>
          <w:szCs w:val="32"/>
        </w:rPr>
      </w:pPr>
      <w:r>
        <w:rPr>
          <w:rFonts w:hint="eastAsia" w:ascii="仿宋" w:hAnsi="仿宋" w:eastAsia="仿宋" w:cs="仿宋"/>
          <w:sz w:val="32"/>
          <w:szCs w:val="32"/>
        </w:rPr>
        <w:t>2020年部门整体支出335.99万元，其中：基本支出</w:t>
      </w:r>
      <w:r>
        <w:rPr>
          <w:rFonts w:hint="eastAsia" w:ascii="仿宋" w:hAnsi="仿宋" w:eastAsia="仿宋" w:cs="仿宋"/>
          <w:color w:val="000000"/>
          <w:kern w:val="0"/>
          <w:sz w:val="32"/>
          <w:szCs w:val="32"/>
        </w:rPr>
        <w:t>274.98</w:t>
      </w:r>
      <w:r>
        <w:rPr>
          <w:rFonts w:hint="eastAsia" w:ascii="仿宋" w:hAnsi="仿宋" w:eastAsia="仿宋" w:cs="仿宋"/>
          <w:sz w:val="32"/>
          <w:szCs w:val="32"/>
        </w:rPr>
        <w:t>万元，项目支出61.01万元。具体安排情况如下：</w:t>
      </w:r>
    </w:p>
    <w:p>
      <w:pPr>
        <w:keepNext w:val="0"/>
        <w:keepLines w:val="0"/>
        <w:pageBreakBefore w:val="0"/>
        <w:widowControl w:val="0"/>
        <w:kinsoku/>
        <w:wordWrap/>
        <w:overflowPunct/>
        <w:topLinePunct w:val="0"/>
        <w:autoSpaceDE/>
        <w:autoSpaceDN/>
        <w:bidi w:val="0"/>
        <w:adjustRightInd/>
        <w:snapToGrid/>
        <w:spacing w:line="580" w:lineRule="atLeast"/>
        <w:ind w:firstLine="315" w:firstLineChars="112"/>
        <w:textAlignment w:val="auto"/>
        <w:rPr>
          <w:rFonts w:ascii="仿宋" w:hAnsi="仿宋" w:eastAsia="仿宋" w:cs="仿宋"/>
          <w:sz w:val="30"/>
          <w:szCs w:val="30"/>
        </w:rPr>
      </w:pPr>
      <w:r>
        <w:rPr>
          <w:rFonts w:hint="eastAsia" w:ascii="仿宋_GB2312" w:hAnsi="仿宋_GB2312" w:eastAsia="仿宋_GB2312" w:cs="仿宋_GB2312"/>
          <w:b/>
          <w:bCs/>
          <w:sz w:val="28"/>
          <w:szCs w:val="28"/>
        </w:rPr>
        <w:t>（一）基本支出：</w:t>
      </w:r>
      <w:r>
        <w:rPr>
          <w:rFonts w:hint="eastAsia" w:ascii="仿宋" w:hAnsi="仿宋" w:eastAsia="仿宋" w:cs="仿宋"/>
          <w:sz w:val="30"/>
          <w:szCs w:val="30"/>
        </w:rPr>
        <w:t>是指为保障单位机构正常运转、完成日常工作任务而发生的各项支出，包括用于基本工资、津贴补贴等人员经费以及办公费、印刷费、水电费、办公设备购置等日常公用经费。</w:t>
      </w:r>
    </w:p>
    <w:p>
      <w:pPr>
        <w:keepNext w:val="0"/>
        <w:keepLines w:val="0"/>
        <w:pageBreakBefore w:val="0"/>
        <w:widowControl w:val="0"/>
        <w:kinsoku/>
        <w:wordWrap/>
        <w:overflowPunct/>
        <w:topLinePunct w:val="0"/>
        <w:autoSpaceDE/>
        <w:autoSpaceDN/>
        <w:bidi w:val="0"/>
        <w:adjustRightInd/>
        <w:snapToGrid/>
        <w:spacing w:line="580" w:lineRule="atLeast"/>
        <w:ind w:firstLine="336" w:firstLineChars="112"/>
        <w:jc w:val="left"/>
        <w:textAlignment w:val="auto"/>
        <w:rPr>
          <w:rFonts w:ascii="仿宋" w:hAnsi="仿宋" w:eastAsia="仿宋" w:cs="仿宋"/>
          <w:sz w:val="30"/>
          <w:szCs w:val="30"/>
        </w:rPr>
      </w:pPr>
      <w:r>
        <w:rPr>
          <w:rFonts w:hint="eastAsia" w:ascii="仿宋" w:hAnsi="仿宋" w:eastAsia="仿宋" w:cs="仿宋"/>
          <w:sz w:val="30"/>
          <w:szCs w:val="30"/>
        </w:rPr>
        <w:t>2020年部门基本支出</w:t>
      </w:r>
      <w:r>
        <w:rPr>
          <w:rFonts w:hint="eastAsia" w:ascii="仿宋" w:hAnsi="仿宋" w:eastAsia="仿宋" w:cs="仿宋"/>
          <w:color w:val="000000"/>
          <w:kern w:val="0"/>
          <w:sz w:val="30"/>
          <w:szCs w:val="30"/>
        </w:rPr>
        <w:t>274.98</w:t>
      </w:r>
      <w:r>
        <w:rPr>
          <w:rFonts w:hint="eastAsia" w:ascii="仿宋" w:hAnsi="仿宋" w:eastAsia="仿宋" w:cs="仿宋"/>
          <w:sz w:val="30"/>
          <w:szCs w:val="30"/>
        </w:rPr>
        <w:t>万元，其中人员经费241.52万元、日常公用经费</w:t>
      </w:r>
      <w:r>
        <w:rPr>
          <w:rFonts w:hint="eastAsia" w:ascii="仿宋" w:hAnsi="仿宋" w:eastAsia="仿宋" w:cs="仿宋"/>
          <w:sz w:val="30"/>
          <w:szCs w:val="30"/>
          <w:lang w:val="en-US" w:eastAsia="zh-CN"/>
        </w:rPr>
        <w:t>33.46</w:t>
      </w:r>
      <w:bookmarkStart w:id="0" w:name="_GoBack"/>
      <w:bookmarkEnd w:id="0"/>
      <w:r>
        <w:rPr>
          <w:rFonts w:hint="eastAsia" w:ascii="仿宋" w:hAnsi="仿宋" w:eastAsia="仿宋" w:cs="仿宋"/>
          <w:sz w:val="30"/>
          <w:szCs w:val="30"/>
        </w:rPr>
        <w:t>万元。日常公用经费中三公经费支出4.41万元，培训费1万元，会议费1万元。通过自查，基本支出符合国家财经法规和财务管理制度规定以及有关项目资金管理办法的规定，资金使用规范，资金拨付有完整的审批程序和手续，三公经费未超年初预算，资金管理和预算执行情况较好。</w:t>
      </w:r>
    </w:p>
    <w:p>
      <w:pPr>
        <w:keepNext w:val="0"/>
        <w:keepLines w:val="0"/>
        <w:pageBreakBefore w:val="0"/>
        <w:widowControl w:val="0"/>
        <w:kinsoku/>
        <w:wordWrap/>
        <w:overflowPunct/>
        <w:topLinePunct w:val="0"/>
        <w:autoSpaceDE/>
        <w:autoSpaceDN/>
        <w:bidi w:val="0"/>
        <w:adjustRightInd/>
        <w:snapToGrid/>
        <w:spacing w:line="580" w:lineRule="atLeast"/>
        <w:ind w:firstLine="315" w:firstLineChars="112"/>
        <w:textAlignment w:val="auto"/>
        <w:rPr>
          <w:rFonts w:ascii="仿宋" w:hAnsi="仿宋" w:eastAsia="仿宋" w:cs="仿宋"/>
          <w:sz w:val="30"/>
          <w:szCs w:val="30"/>
        </w:rPr>
      </w:pPr>
      <w:r>
        <w:rPr>
          <w:rFonts w:hint="eastAsia" w:ascii="仿宋_GB2312" w:hAnsi="仿宋_GB2312" w:eastAsia="仿宋_GB2312" w:cs="仿宋_GB2312"/>
          <w:b/>
          <w:bCs/>
          <w:sz w:val="28"/>
          <w:szCs w:val="28"/>
        </w:rPr>
        <w:t>（二）项目支出：</w:t>
      </w:r>
      <w:r>
        <w:rPr>
          <w:rFonts w:hint="eastAsia" w:ascii="仿宋" w:hAnsi="仿宋" w:eastAsia="仿宋" w:cs="仿宋"/>
          <w:sz w:val="30"/>
          <w:szCs w:val="30"/>
        </w:rPr>
        <w:t>是指单位为完成特定行政工作任务或事业发展目标而发生的支出，包括有关事业发展专项、专项业务费、基本建设支出、对市专项补助等。</w:t>
      </w:r>
    </w:p>
    <w:p>
      <w:pPr>
        <w:spacing w:line="600" w:lineRule="exact"/>
        <w:ind w:firstLine="588" w:firstLineChars="196"/>
        <w:jc w:val="left"/>
        <w:rPr>
          <w:rFonts w:ascii="仿宋" w:hAnsi="仿宋" w:eastAsia="仿宋" w:cs="仿宋"/>
          <w:sz w:val="30"/>
          <w:szCs w:val="30"/>
        </w:rPr>
      </w:pPr>
      <w:r>
        <w:rPr>
          <w:rFonts w:hint="eastAsia" w:ascii="仿宋" w:hAnsi="仿宋" w:eastAsia="仿宋" w:cs="仿宋"/>
          <w:sz w:val="30"/>
          <w:szCs w:val="30"/>
        </w:rPr>
        <w:t>2020年度，本单位收到各级项目资金61.01万元，其中本级项目资金合计61.01万元，本年已投入使用各级项目资金61.01万元。本年度项目支出主要有一般行政管理事务支出45.2万元，其他科学技术事务支出14.81万元，其他应急管理事务支出1万元。</w:t>
      </w:r>
    </w:p>
    <w:p>
      <w:pPr>
        <w:spacing w:line="600" w:lineRule="exact"/>
        <w:ind w:firstLine="588" w:firstLineChars="196"/>
        <w:jc w:val="left"/>
        <w:rPr>
          <w:rFonts w:ascii="仿宋" w:hAnsi="仿宋" w:eastAsia="仿宋" w:cs="仿宋"/>
          <w:sz w:val="30"/>
          <w:szCs w:val="30"/>
        </w:rPr>
      </w:pPr>
      <w:r>
        <w:rPr>
          <w:rFonts w:hint="eastAsia" w:ascii="仿宋" w:hAnsi="仿宋" w:eastAsia="仿宋" w:cs="仿宋"/>
          <w:sz w:val="30"/>
          <w:szCs w:val="30"/>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spacing w:line="600" w:lineRule="exact"/>
        <w:ind w:firstLine="630" w:firstLineChars="196"/>
        <w:jc w:val="left"/>
        <w:rPr>
          <w:rFonts w:hint="eastAsia" w:ascii="宋体" w:hAnsi="宋体" w:eastAsia="宋体" w:cs="宋体"/>
          <w:b/>
          <w:bCs/>
          <w:sz w:val="32"/>
          <w:szCs w:val="32"/>
        </w:rPr>
      </w:pPr>
      <w:r>
        <w:rPr>
          <w:rFonts w:hint="eastAsia" w:ascii="宋体" w:hAnsi="宋体" w:eastAsia="宋体" w:cs="宋体"/>
          <w:b/>
          <w:bCs/>
          <w:sz w:val="32"/>
          <w:szCs w:val="32"/>
        </w:rPr>
        <w:t>三、部门项目组织实施情况</w:t>
      </w:r>
    </w:p>
    <w:p>
      <w:pPr>
        <w:spacing w:line="600" w:lineRule="exact"/>
        <w:ind w:firstLine="630" w:firstLineChars="196"/>
        <w:jc w:val="left"/>
        <w:rPr>
          <w:rFonts w:hint="eastAsia" w:ascii="宋体" w:hAnsi="宋体" w:eastAsia="宋体" w:cs="宋体"/>
          <w:b/>
          <w:bCs/>
          <w:sz w:val="32"/>
          <w:szCs w:val="32"/>
        </w:rPr>
      </w:pPr>
      <w:r>
        <w:rPr>
          <w:rFonts w:hint="eastAsia" w:ascii="宋体" w:hAnsi="宋体" w:eastAsia="宋体" w:cs="宋体"/>
          <w:b/>
          <w:bCs/>
          <w:sz w:val="32"/>
          <w:szCs w:val="32"/>
        </w:rPr>
        <w:t>（一）项目组织和管理情况</w:t>
      </w:r>
    </w:p>
    <w:p>
      <w:pPr>
        <w:spacing w:line="6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单位2020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p>
    <w:p>
      <w:pPr>
        <w:spacing w:line="600" w:lineRule="exact"/>
        <w:ind w:firstLine="630" w:firstLineChars="196"/>
        <w:jc w:val="left"/>
        <w:rPr>
          <w:rFonts w:hint="eastAsia" w:ascii="宋体" w:hAnsi="宋体" w:eastAsia="宋体" w:cs="宋体"/>
          <w:b/>
          <w:bCs/>
          <w:sz w:val="32"/>
          <w:szCs w:val="32"/>
        </w:rPr>
      </w:pPr>
      <w:r>
        <w:rPr>
          <w:rFonts w:hint="eastAsia" w:ascii="宋体" w:hAnsi="宋体" w:eastAsia="宋体" w:cs="宋体"/>
          <w:b/>
          <w:bCs/>
          <w:sz w:val="32"/>
          <w:szCs w:val="32"/>
        </w:rPr>
        <w:t>四、资产管理情况</w:t>
      </w:r>
    </w:p>
    <w:p>
      <w:pPr>
        <w:spacing w:line="600" w:lineRule="exact"/>
        <w:ind w:firstLine="627" w:firstLineChars="196"/>
        <w:jc w:val="left"/>
        <w:rPr>
          <w:rFonts w:hint="eastAsia" w:ascii="仿宋" w:hAnsi="仿宋" w:eastAsia="仿宋" w:cs="仿宋"/>
          <w:sz w:val="32"/>
          <w:szCs w:val="32"/>
        </w:rPr>
      </w:pPr>
      <w:r>
        <w:rPr>
          <w:rFonts w:hint="eastAsia" w:ascii="仿宋" w:hAnsi="仿宋" w:eastAsia="仿宋" w:cs="仿宋"/>
          <w:sz w:val="32"/>
          <w:szCs w:val="32"/>
        </w:rPr>
        <w:t>本单位年初固定资产48.24万元，年初累计折旧36.9万元，净值11.34万元，年末固定资产原值48.24万元，累计折旧39.04万元，净值9.20万元。本单位资产保存完整、使用合规、配置合理、处置规范，资产管理情况较好。</w:t>
      </w:r>
    </w:p>
    <w:p>
      <w:pPr>
        <w:numPr>
          <w:ilvl w:val="0"/>
          <w:numId w:val="1"/>
        </w:numPr>
        <w:spacing w:line="600" w:lineRule="exact"/>
        <w:ind w:left="-5" w:leftChars="0" w:firstLine="627" w:firstLineChars="0"/>
        <w:jc w:val="left"/>
        <w:rPr>
          <w:rFonts w:hint="eastAsia" w:ascii="宋体" w:hAnsi="宋体" w:eastAsia="宋体" w:cs="宋体"/>
          <w:b/>
          <w:bCs w:val="0"/>
          <w:sz w:val="32"/>
          <w:szCs w:val="32"/>
        </w:rPr>
      </w:pPr>
      <w:r>
        <w:rPr>
          <w:rFonts w:hint="eastAsia" w:ascii="宋体" w:hAnsi="宋体" w:eastAsia="宋体" w:cs="宋体"/>
          <w:b/>
          <w:bCs w:val="0"/>
          <w:sz w:val="32"/>
          <w:szCs w:val="32"/>
        </w:rPr>
        <w:t>部门整体支出绩效情况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2020年，在市委、市委编委的坚强领导和长沙市委编办的精心指导下，市委编办深入学习贯彻习近平新时代中国特色社会主义思想，党的十九大和十九届二中、三中、四中、五中全会精神、习近平总书记考察湖南重要讲话精神，以强烈的政治担当扎实推进机构编制工作，着力管好调优全市机构编制资源，为推动建设现代化宁乡提供体制机制保障。</w:t>
      </w:r>
    </w:p>
    <w:p>
      <w:pPr>
        <w:spacing w:line="600" w:lineRule="exact"/>
        <w:ind w:firstLine="630" w:firstLineChars="196"/>
        <w:jc w:val="left"/>
        <w:rPr>
          <w:rFonts w:hint="eastAsia" w:ascii="宋体" w:hAnsi="宋体" w:eastAsia="宋体" w:cs="宋体"/>
          <w:b/>
          <w:bCs w:val="0"/>
          <w:sz w:val="32"/>
          <w:szCs w:val="32"/>
        </w:rPr>
      </w:pPr>
      <w:r>
        <w:rPr>
          <w:rFonts w:hint="eastAsia" w:ascii="宋体" w:hAnsi="宋体" w:eastAsia="宋体" w:cs="宋体"/>
          <w:b/>
          <w:bCs w:val="0"/>
          <w:sz w:val="32"/>
          <w:szCs w:val="32"/>
        </w:rPr>
        <w:t>六、存在的主要问题</w:t>
      </w:r>
    </w:p>
    <w:p>
      <w:pPr>
        <w:spacing w:line="600" w:lineRule="exact"/>
        <w:ind w:firstLine="627" w:firstLineChars="196"/>
        <w:jc w:val="left"/>
        <w:rPr>
          <w:rFonts w:hint="eastAsia" w:ascii="仿宋" w:hAnsi="仿宋" w:eastAsia="仿宋" w:cs="仿宋"/>
          <w:sz w:val="32"/>
          <w:szCs w:val="32"/>
        </w:rPr>
      </w:pPr>
      <w:r>
        <w:rPr>
          <w:rFonts w:hint="eastAsia" w:ascii="仿宋" w:hAnsi="仿宋" w:eastAsia="仿宋" w:cs="仿宋"/>
          <w:sz w:val="32"/>
          <w:szCs w:val="32"/>
        </w:rPr>
        <w:t>无。</w:t>
      </w:r>
    </w:p>
    <w:p>
      <w:pPr>
        <w:spacing w:line="600" w:lineRule="exact"/>
        <w:ind w:firstLine="627" w:firstLineChars="196"/>
        <w:jc w:val="left"/>
        <w:rPr>
          <w:rFonts w:eastAsia="黑体"/>
          <w:bCs/>
          <w:sz w:val="32"/>
          <w:szCs w:val="32"/>
        </w:rPr>
      </w:pPr>
      <w:r>
        <w:rPr>
          <w:rFonts w:eastAsia="黑体"/>
          <w:bCs/>
          <w:sz w:val="32"/>
          <w:szCs w:val="32"/>
        </w:rPr>
        <w:t>七、改进措施和有关建议</w:t>
      </w:r>
    </w:p>
    <w:p>
      <w:pPr>
        <w:spacing w:line="600" w:lineRule="exact"/>
        <w:ind w:firstLine="627" w:firstLineChars="196"/>
        <w:jc w:val="left"/>
        <w:rPr>
          <w:rFonts w:eastAsia="仿宋_GB2312"/>
          <w:sz w:val="32"/>
          <w:szCs w:val="32"/>
        </w:rPr>
      </w:pPr>
      <w:r>
        <w:rPr>
          <w:rFonts w:hint="eastAsia" w:eastAsia="仿宋_GB2312"/>
          <w:sz w:val="32"/>
          <w:szCs w:val="32"/>
        </w:rPr>
        <w:t>无</w:t>
      </w:r>
      <w:r>
        <w:rPr>
          <w:rFonts w:eastAsia="仿宋_GB2312"/>
          <w:sz w:val="32"/>
          <w:szCs w:val="32"/>
        </w:rPr>
        <w:t>。</w:t>
      </w:r>
    </w:p>
    <w:p>
      <w:pPr>
        <w:widowControl/>
        <w:spacing w:line="600" w:lineRule="exact"/>
        <w:rPr>
          <w:rFonts w:eastAsia="方正小标宋_GBK"/>
          <w:bCs/>
          <w:kern w:val="0"/>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3F9FD5"/>
    <w:multiLevelType w:val="singleLevel"/>
    <w:tmpl w:val="D93F9FD5"/>
    <w:lvl w:ilvl="0" w:tentative="0">
      <w:start w:val="5"/>
      <w:numFmt w:val="chineseCounting"/>
      <w:suff w:val="nothing"/>
      <w:lvlText w:val="%1、"/>
      <w:lvlJc w:val="left"/>
      <w:pPr>
        <w:ind w:left="-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3OGRjYWQ1Y2YwMmQ1YTMxMDc0ODUwMWIwZWEzOWIifQ=="/>
  </w:docVars>
  <w:rsids>
    <w:rsidRoot w:val="24D23E19"/>
    <w:rsid w:val="0023650C"/>
    <w:rsid w:val="01CF1FD5"/>
    <w:rsid w:val="06B83D70"/>
    <w:rsid w:val="088D2CE7"/>
    <w:rsid w:val="24D23E19"/>
    <w:rsid w:val="2A885F2C"/>
    <w:rsid w:val="3E9A0A99"/>
    <w:rsid w:val="5A5A4FB0"/>
    <w:rsid w:val="70D70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1936</Words>
  <Characters>2060</Characters>
  <Lines>0</Lines>
  <Paragraphs>0</Paragraphs>
  <TotalTime>118</TotalTime>
  <ScaleCrop>false</ScaleCrop>
  <LinksUpToDate>false</LinksUpToDate>
  <CharactersWithSpaces>2060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2021-07-14T02:00:00Z</dcterms:created>
  <dc:creator>Administrator</dc:creator>
  <cp:lastModifiedBy>Administrator</cp:lastModifiedBy>
  <dcterms:modified xsi:type="dcterms:W3CDTF">2022-06-08T07:42:20Z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C7F24659357642DEB482FA2757B570FC</vt:lpwstr>
  </property>
</Properties>
</file>