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2022年横市镇整体支出绩效自评报告</w:t>
      </w:r>
    </w:p>
    <w:p>
      <w:pPr>
        <w:widowControl/>
        <w:shd w:val="clear" w:color="auto" w:fill="FFFFFF"/>
        <w:jc w:val="left"/>
        <w:outlineLvl w:val="0"/>
        <w:rPr>
          <w:rFonts w:hint="eastAsia" w:ascii="仿宋_GB2312" w:hAnsi="仿宋_GB2312" w:eastAsia="仿宋_GB2312" w:cs="仿宋_GB2312"/>
          <w:color w:val="333333"/>
          <w:kern w:val="0"/>
          <w:sz w:val="24"/>
          <w:szCs w:val="24"/>
          <w:lang w:val="en-US" w:eastAsia="zh-CN" w:bidi="ar-SA"/>
        </w:rPr>
      </w:pPr>
    </w:p>
    <w:p>
      <w:pPr>
        <w:widowControl/>
        <w:shd w:val="clear" w:color="auto" w:fill="FFFFFF"/>
        <w:jc w:val="left"/>
        <w:outlineLvl w:val="0"/>
        <w:rPr>
          <w:rFonts w:hint="eastAsia" w:ascii="仿宋_GB2312" w:hAnsi="仿宋_GB2312" w:eastAsia="仿宋_GB2312" w:cs="仿宋_GB2312"/>
          <w:color w:val="333333"/>
          <w:kern w:val="0"/>
          <w:sz w:val="24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left"/>
        <w:textAlignment w:val="auto"/>
        <w:outlineLvl w:val="0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  <w:t>为贯彻落实《宁乡市财政局关于开展2022年度整体支出绩效自评和部门项目支出绩效评价工作的通知》（宁财〔2023〕3号）文件精神，现将我镇2022年部门整体支出绩效的自评情况汇报如下：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left"/>
        <w:textAlignment w:val="auto"/>
        <w:outlineLvl w:val="0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/>
        <w:textAlignment w:val="auto"/>
        <w:rPr>
          <w:rFonts w:hint="eastAsia" w:ascii="微软雅黑" w:hAnsi="微软雅黑" w:eastAsia="微软雅黑" w:cs="宋体"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宋体"/>
          <w:color w:val="333333"/>
          <w:kern w:val="0"/>
          <w:sz w:val="32"/>
          <w:szCs w:val="32"/>
          <w:lang w:val="en-US" w:eastAsia="zh-CN"/>
        </w:rPr>
        <w:t>部门概况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微软雅黑" w:hAnsi="微软雅黑" w:eastAsia="微软雅黑" w:cs="宋体"/>
          <w:color w:val="333333"/>
          <w:kern w:val="0"/>
          <w:sz w:val="32"/>
          <w:szCs w:val="32"/>
          <w:lang w:eastAsia="zh-CN"/>
        </w:rPr>
      </w:pPr>
      <w:r>
        <w:rPr>
          <w:rFonts w:hint="eastAsia" w:ascii="微软雅黑" w:hAnsi="微软雅黑" w:eastAsia="微软雅黑" w:cs="宋体"/>
          <w:color w:val="333333"/>
          <w:kern w:val="0"/>
          <w:sz w:val="32"/>
          <w:szCs w:val="32"/>
        </w:rPr>
        <w:t>（一）</w:t>
      </w:r>
      <w:r>
        <w:rPr>
          <w:rFonts w:hint="eastAsia" w:ascii="微软雅黑" w:hAnsi="微软雅黑" w:eastAsia="微软雅黑" w:cs="宋体"/>
          <w:color w:val="333333"/>
          <w:kern w:val="0"/>
          <w:sz w:val="32"/>
          <w:szCs w:val="32"/>
          <w:lang w:eastAsia="zh-CN"/>
        </w:rPr>
        <w:t>部门基本情况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/>
        <w:textAlignment w:val="auto"/>
        <w:rPr>
          <w:rFonts w:hint="eastAsia" w:ascii="微软雅黑" w:hAnsi="微软雅黑" w:eastAsia="微软雅黑" w:cs="宋体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  <w:t>横市镇地处宁乡市中北部，距城区约38公里，镇域面积124.12平方公里，人口1.6万户，5.7万人，共辖11个村和1个社区，村（社区）“两委”成员82人。现有全镇党员1806人。全镇共行政事业单位6个，包括：政府机关、农业综合服务中心、政务服务中心、社会事务综合服务中心、综合行政执法队和司法所，现有机关干职工108人，其中公务员37名，机关工勤1名，事业人员70名。退休干部60人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/>
        <w:textAlignment w:val="auto"/>
        <w:rPr>
          <w:rFonts w:hint="eastAsia" w:ascii="微软雅黑" w:hAnsi="微软雅黑" w:eastAsia="微软雅黑" w:cs="宋体"/>
          <w:color w:val="333333"/>
          <w:kern w:val="0"/>
          <w:sz w:val="32"/>
          <w:szCs w:val="32"/>
        </w:rPr>
      </w:pPr>
      <w:r>
        <w:rPr>
          <w:rFonts w:hint="eastAsia" w:ascii="微软雅黑" w:hAnsi="微软雅黑" w:eastAsia="微软雅黑" w:cs="宋体"/>
          <w:color w:val="333333"/>
          <w:kern w:val="0"/>
          <w:sz w:val="32"/>
          <w:szCs w:val="32"/>
        </w:rPr>
        <w:t>（二）机构职能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  <w:t>1.贯彻执行党和国家的路线、方针、政策、法律、法规和上级党委、政府的决定、命令。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  <w:t>2.促进本地经济发展。编制区域内经济发展规划、年度计划并组织实施；指导经济结构调整和推进经济发展方式转变；因地制宜发展区域特色经济；营造经济发展环境，提供示范引导和政策服务；发展农村经济，加强农村经济管理工作；引导和促进新型农村专业合作经济组织发展，提高农民进入市场的组织化程度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  <w:t>3.提供区域公共服务。编制区域内各项社会事业发展规划，完善社会化服务体系；充分利用和整合农村（城镇）资源，为居民提供科技、体育、文化、信息、卫生、医疗、人才开发、劳动就业、社会保障、计划生育、安全生产、防灾减灾、城乡低保、社会救助、社会治安等方面的服务，管好用好国家转移到农村的各项资金；加强基础设施建设和新型城乡服务体系建设，抓好农田水利、镇村道路、生态环境等各项公益事业建设；推进社会新农村建设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  <w:t>4.全面加强社会管理。加强环境保护。努力改善人居环境；负责区域内的管理；推行依法行政，严格依法履行职责；推行政务公开；综合发挥人民调解、行政调解和司法调解的作用，妥善处理突发性、群体性事件，及时化解辖区内各种利益矛盾和纠纷，保障人民生命财产安全，确保社会稳定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  <w:t>5.承办市人民政府交办的其它事项。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480" w:firstLineChars="0"/>
        <w:textAlignment w:val="auto"/>
        <w:rPr>
          <w:rFonts w:hint="eastAsia" w:ascii="微软雅黑" w:hAnsi="微软雅黑" w:eastAsia="微软雅黑" w:cs="宋体"/>
          <w:color w:val="333333"/>
          <w:kern w:val="0"/>
          <w:sz w:val="32"/>
          <w:szCs w:val="32"/>
          <w:lang w:eastAsia="zh-CN"/>
        </w:rPr>
      </w:pPr>
      <w:r>
        <w:rPr>
          <w:rFonts w:hint="eastAsia" w:ascii="微软雅黑" w:hAnsi="微软雅黑" w:eastAsia="微软雅黑" w:cs="宋体"/>
          <w:color w:val="333333"/>
          <w:kern w:val="0"/>
          <w:sz w:val="32"/>
          <w:szCs w:val="32"/>
        </w:rPr>
        <w:t>部门</w:t>
      </w:r>
      <w:r>
        <w:rPr>
          <w:rFonts w:hint="eastAsia" w:ascii="微软雅黑" w:hAnsi="微软雅黑" w:eastAsia="微软雅黑" w:cs="宋体"/>
          <w:color w:val="333333"/>
          <w:kern w:val="0"/>
          <w:sz w:val="32"/>
          <w:szCs w:val="32"/>
          <w:lang w:eastAsia="zh-CN"/>
        </w:rPr>
        <w:t>整体支出使用情况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  <w:t>横市镇2022年部门整体支出11279.91万元。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  <w:t>按照支出资金来源分类包括：一般公共预算财政拨款支出8661.29万元，占整体支出的76.8%，政府性基金预算财政拨款支出244.45万元，占整体支出的2.2%，其他收入支出2374.17万元，占整体支出的21%。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  <w:t>按照支出功能科目分类包括：一般公共服务支出2317.37万元，国防支出10万元，公共安全支出5.42万元，教育支出1501.83万元，文化旅游体育与传媒支出112.08万元，社会保障和就业支出595.01万元，卫生健康支出92.13万元，节能环保支出179.7万元，城乡社区支出355.74万元，农林水支出4551.55万元，交通运输支出906.81万元，住房保障支出73.86万元，灾害防治及应急管理支出498万元，其他支出80.39万元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  <w:t>按照支出经济科目分类包括：工资福利支出2256.5万元，商品和服务支出2193.69万元，对个人和家庭的补助1280.71万元，其他资本性支出5364.59万元，债务利息及费用支出64.57万元，对企业补助支出119.86万元。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/>
        <w:textAlignment w:val="auto"/>
        <w:rPr>
          <w:rFonts w:hint="default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  <w:t>按照支出性质分类包括：</w:t>
      </w: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2"/>
          <w:szCs w:val="32"/>
          <w:lang w:val="en-US" w:eastAsia="zh-CN" w:bidi="ar-SA"/>
        </w:rPr>
        <w:t>（一）基本支出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  <w:t>2596.1万元，占整体支出的23.01%，其中人员经费支出2437.63万元，主要用于干职工工资待遇发放、社保和住房公积金缴纳、退休干部奖励金和节日慰问费发放、村干部补助发放、农村高龄补助等民政救济救助金发放等；日常公用经费支出158.47万元，主要用于机关日常运转办公费用、会议费用、培训费用等；</w:t>
      </w: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2"/>
          <w:szCs w:val="32"/>
          <w:lang w:val="en-US" w:eastAsia="zh-CN" w:bidi="ar-SA"/>
        </w:rPr>
        <w:t>（二）项目支出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  <w:t>8683.81万元，占整体支出的76.98%，其中财政资金支出6309.64万元，占项目支出的72.66%，其他收入资金支出2374.17万元，占项目支出的27.34%。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480" w:firstLineChars="0"/>
        <w:textAlignment w:val="auto"/>
        <w:rPr>
          <w:rFonts w:hint="eastAsia" w:ascii="微软雅黑" w:hAnsi="微软雅黑" w:eastAsia="微软雅黑" w:cs="宋体"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宋体"/>
          <w:color w:val="333333"/>
          <w:kern w:val="0"/>
          <w:sz w:val="32"/>
          <w:szCs w:val="32"/>
          <w:lang w:val="en-US" w:eastAsia="zh-CN"/>
        </w:rPr>
        <w:t>部门整体支出管理情况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  <w:t>（一）制度建设情况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  <w:t>1.财务制度。横市镇制定了《横市镇2022年财务制度》，各行政事业单位按照此制度进行财务收支，资金的审批严格按照资金审批制度进行复核和审核，拨付程序严格按照资金拨付管理办法进行拨付。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  <w:t>2.内控制度。镇依照内部控制规章制度执行内控工作，银行印鉴保管分开管理，杜绝由一人保管所有的印鉴。关键岗位职责分离（复核和审批），不能由一人担任。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  <w:t>3.工作制度。全体职工严格遵守上下班制度，从而确保日常工作有序推动。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  <w:t>4.纪律制度。会计核算及资金收支严格按照财经纪律制度执行。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/>
        <w:textAlignment w:val="auto"/>
        <w:rPr>
          <w:rFonts w:hint="eastAsia" w:ascii="微软雅黑" w:hAnsi="微软雅黑" w:eastAsia="微软雅黑" w:cs="宋体"/>
          <w:color w:val="333333"/>
          <w:kern w:val="0"/>
          <w:sz w:val="32"/>
          <w:szCs w:val="32"/>
        </w:rPr>
      </w:pPr>
      <w:r>
        <w:rPr>
          <w:rFonts w:hint="eastAsia" w:ascii="微软雅黑" w:hAnsi="微软雅黑" w:eastAsia="微软雅黑" w:cs="宋体"/>
          <w:color w:val="333333"/>
          <w:kern w:val="0"/>
          <w:sz w:val="32"/>
          <w:szCs w:val="32"/>
        </w:rPr>
        <w:t>（二）绩效目标管理情况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  <w:t>2022年按照“量入为出，统筹兼顾、保证重点、收支平衡”的原则，科学合理编制预算，强化预算执行；绩效目标设定在去年的基础上结合单位本年度工作任务，完整可行；绩效目标管理符合国家法律法规、部门“三定”方案确定的职责、国民经济和社会发展的中长期规范；绩效目标的实施过程由镇监督小组全程监督，监控内容涵盖资金到位情况、使用进度、绩效目标完成情况；绩效评价由镇绩效评价小组领导实施，采用支出绩效评价指标体系法，客观公正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/>
        <w:textAlignment w:val="auto"/>
        <w:rPr>
          <w:rFonts w:hint="eastAsia" w:ascii="微软雅黑" w:hAnsi="微软雅黑" w:eastAsia="微软雅黑" w:cs="宋体"/>
          <w:color w:val="333333"/>
          <w:kern w:val="0"/>
          <w:sz w:val="32"/>
          <w:szCs w:val="32"/>
        </w:rPr>
      </w:pPr>
      <w:r>
        <w:rPr>
          <w:rFonts w:hint="eastAsia" w:ascii="微软雅黑" w:hAnsi="微软雅黑" w:eastAsia="微软雅黑" w:cs="宋体"/>
          <w:color w:val="333333"/>
          <w:kern w:val="0"/>
          <w:sz w:val="32"/>
          <w:szCs w:val="32"/>
        </w:rPr>
        <w:t>（三）综合管理情况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  <w:t>1.政府性债务管理。为有效防控债务风险，保障财政运行安全，守住政府债务风险的底线，防范化解财政风险，镇党委政府加强组织领导，进一步规范和加强政府性债务管理工作，按照“制止新债、摸清旧债、明确责任、分类处理、逐步化解”的要求，积极探索化解债务的新途径和新办法：一是财务开支精打细算，开源节流，坚持量入为出的原则，坚持不举债搞政绩工程、形象工程，从源头上杜绝新债的发生；二是坚持“四个严禁”严控新债务，即严禁举债兴办公益事业，严禁举债垫付各类建设项目资金、严禁举债用于镇、村支出、严禁村级、镇级组织、镇属相关单位从金融机构贷款或为企业担保；三是积极抓好债务监管，按时上报政府债务管理相关资料、报表；四是认真做好群众债务咨询、解释工作，全年未出现债务方面的信访件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  <w:t>2.政府采购实施计划。2022年镇全面贯彻落实《政府采购法》，严格编制政府采购预算、采购标准，做到应编尽编，集中采购和分散采购全部通过“政府采购项目系统”进行，全面规范了我镇的采购行为，加强了政府采购的管理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  <w:t>3.三公经费使用情况。2022年“三公”经费支出10.89万元，无因公出国（境）费，公务用车运行维护费用7.07万元，公务接待费用3.82万元。2022年无超预算、超标准、超范围列支公务接待费的情况。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  <w:t>4.资产管理。根据《行政事业单位国有资产管理暂行办法》、《事业单位国有资产管理暂行办法》等有关文件精神，设立了专职专岗管理政府性资产，并明确了工作职责与工作要求，力求做到规范管理、科学统筹，不断提高资产使用效率。在资产的日常管理方面，将单位国有资产层次化、集中化管理，政府性资产全部资产管理系统实行动态监管，加大了资产管理信息化建设，优化了国有资产的配置和分布，提升了国有资产的管理水平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  <w:t>5.信息公开。严格按照省、长沙市、宁乡市政府决策部署，积极推进政府信息公开工作。一是加强组织领导，确定相关工作职责，明确政务公开分工，责任到人，全面推进全镇信息公开。二是强化制度建设，信息公开从组织管理、工作程序、具体要求等方面都作了明确规定。三是积极公开，利用政府信息公开网、政府信息公开栏、政务微博、微信等多种途径开展政务公开，确保了信息公开的经常性、动态性和及时性。四是建立健全政务公开监督制约机制，明确政务公开工作责任，加强对政务公开的监督考核，对各村信息公开进行监督，督促及时更新政务信息，提高公开质量和公开实效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  <w:t>6.依法接受审计、财政监督情况。根据市、区安排，2022年全面完成了预决算公开专项检查、项目资金、财政扶贫资金、国有资产等自查自纠工作，积极配合上级机关完成了检查工作，及时报送了各类检查报表和自查自纠报告，对发现的问题在规定的时限内进行了整改，对存在的问题全部整改到位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/>
        <w:textAlignment w:val="auto"/>
        <w:rPr>
          <w:rFonts w:hint="eastAsia" w:ascii="微软雅黑" w:hAnsi="微软雅黑" w:eastAsia="微软雅黑" w:cs="宋体"/>
          <w:color w:val="333333"/>
          <w:kern w:val="0"/>
          <w:sz w:val="32"/>
          <w:szCs w:val="32"/>
        </w:rPr>
      </w:pPr>
      <w:r>
        <w:rPr>
          <w:rFonts w:hint="eastAsia" w:ascii="微软雅黑" w:hAnsi="微软雅黑" w:eastAsia="微软雅黑" w:cs="宋体"/>
          <w:color w:val="333333"/>
          <w:kern w:val="0"/>
          <w:sz w:val="32"/>
          <w:szCs w:val="32"/>
        </w:rPr>
        <w:t>（四）综合绩效情况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239" w:leftChars="114" w:firstLine="726" w:firstLineChars="227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  <w:t>根据年初计划的重点工作，横市镇2022年度资金的使用，取得了如下绩效：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239" w:leftChars="114" w:firstLine="726" w:firstLineChars="227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  <w:t>产业发展：促生产、蓄动能，经济发展稳中向好。面对巨大的经济下行压力，2022年共完成财税收入687万元，规模工业总产值3.9亿元，社会固定资产投资1.14亿元，社会消费品零售额1.29亿元。工业产业有序推进。引进总部经济1个（通协科技），产业项目2个（天合储能、卓贵建材），其中天合储能项目计划投资4.4亿元，被纳入宁乡市奋力实施强省会战略高质量推进“三区行动 四大工程”三年实施方案。港湾新材料投入生产，正大猪场项目有序推进。特色产业扩容提质。“一带一圈”产业格局进一步构建，落实烟叶种植面积1.17万亩，送售烟叶2.9万担，实现税收600万元，面积和生产效益保持全市第一。艾叶种植面积1000亩，蔬菜种植6500亩。特色农产品宣传短视频《我是横市的》广受好评。集体经济日益壮大。“一村一品”建设持续推进，“界头无花果”“望北峰艾叶”“云山吊瓜子”“仁桥小水果”深受消费者青睐，“横铺子”“望北印象”特色品牌知名度进一步提高。12个村（社区）均实现集体经济超过30万元目标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  <w:t>生态环境发展：防污染、重治理，环境品质持续提升。严守生态保护红线。联合职能部门开展打击非法挖砂采石行动2次，执法巡逻300余次。全面推行河湖长制，开展禁渔巡查100余次，累计处理非法电鱼捕鱼30余起。在饮用水源地定期开展巡逻，进行常态化水质监测。坚持“先审批，后建设”原则，严控建设用地规模，严厉打击侵占山林等各种违法行为，整改违法图斑106个，复耕复绿3.87万平方米。持续整治人居环境。开展人居环境暨河长制、路长制“百日攻坚”大行动，强化镇对村人居环境考核，有效提高村容村貌整治标准和管理水平。开展集镇各类专项整治200次，不断巩固卫生环境整治成果，镇容镇貌明显改善，成功创建长沙市卫生乡镇。树立生态文明风尚。组织退休党员、中小学生开展巡河净滩、集镇环卫整治等各类环保志愿活动10余次，发放宣传单1000余份。完善村规民约，开展星级文明户、美丽庭院等创建评比活动，营造保护环境的良好氛围。建成8个美丽宜居村庄点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  <w:t>基础设施和民生保障：顺利完成集镇污水管网建设及维修、云山大花桥地质灾害治理、仁桥村至铁冲村公路修复、公益性墓地建设、铁冲村完全小学扩建及周边道路建设等民生实事工程。抢抓时机高标准建设沟渠5500米，河坝3处，清淤疏浚沟渠8000米，整修山塘45口，新增蓄水量近15万方，新增灌溉面积240亩，改善灌溉面积1500余亩。惠民成果遍地开花。完成新冠疫苗基础免疫接种31644人，其中60岁以上人员完成基础免疫7785人次，完成加强针接种21956人。妇女两癌筛查1111人，优生检测135对。2022年城乡居民养老保险缴费16316人，2023年城乡居民医保截至3月中旬缴费40506人，覆盖全部脱贫户。举办大型专场人才招聘会2场，提供就业岗位2000余个。推动镇敬老院转型成为综合性养老服务中心，长沙市“五优”退役军人服务站建设顺利通过长沙市、宁乡市两级联合验收。推进教育均衡发展，横市芙蓉学校纳入宁乡一中集团化办学。脱贫攻坚成果持续巩固。新识别监测户21户72人，全镇脱贫户1092户3018人、监测户109户209人，由镇村干部进行联对帮扶，牢牢守住不发生规模性返贫的底线，成功迎接省检、市检。发放各类救助资金38.18万，教育帮扶资金36万元。完成危房改造17户，残疾人无障碍改造20户，对150个困难残疾人家庭开展爱心帮扶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  <w:t>便民服务和社会稳定保障方面：服务大厅接待群众5000余人，办理各项便民事项6000余件，开展“帮代办”1640件。深化“放管服”改革，推进“一网通办”，办件承诺压缩率保持80%以上，办件覆盖率均达90%以上。处理市长信箱投诉件5件，签收各类工单369条，解决率71.14%，满意度达到98.85%。组织开展大学生“送法下乡”活动，解答群众法律咨询180余人次。矛盾化解更高效。开展“调解促稳定、喜迎二十大”专项行动和婚恋家庭纠纷排查化解专项行动，排查调处各类矛盾纠纷101起，成功调处100起，成功率99%，调解协议涉及金额633万元。按司法程序为农民挽回经济损失500余万元。安全底线更牢固。落实自建房排查整治要求，累计排查房屋14509栋，开展C、D级危房专项整治行动，相关经验被《长沙市自建房安全整治信息日报》多次宣介。排查整改企业安全生产隐患965处，立案11起，指导企业开展应急演练和培训20场次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  <w:t>一年来，围绕全镇经济社会高质量发展，人民武装、退役军人、残联等事业取得了新进步；工会、共青团、妇联、老干、关工委等组织作出了新贡献。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/>
        <w:textAlignment w:val="auto"/>
        <w:rPr>
          <w:rFonts w:hint="eastAsia" w:ascii="微软雅黑" w:hAnsi="微软雅黑" w:eastAsia="微软雅黑" w:cs="宋体"/>
          <w:color w:val="333333"/>
          <w:kern w:val="0"/>
          <w:sz w:val="32"/>
          <w:szCs w:val="32"/>
        </w:rPr>
      </w:pPr>
      <w:r>
        <w:rPr>
          <w:rFonts w:hint="eastAsia" w:ascii="微软雅黑" w:hAnsi="微软雅黑" w:eastAsia="微软雅黑" w:cs="宋体"/>
          <w:color w:val="333333"/>
          <w:kern w:val="0"/>
          <w:sz w:val="32"/>
          <w:szCs w:val="32"/>
        </w:rPr>
        <w:t>四、评价结论及建议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/>
        <w:textAlignment w:val="auto"/>
        <w:rPr>
          <w:rFonts w:hint="eastAsia" w:ascii="微软雅黑" w:hAnsi="微软雅黑" w:eastAsia="微软雅黑" w:cs="宋体"/>
          <w:color w:val="333333"/>
          <w:kern w:val="0"/>
          <w:sz w:val="32"/>
          <w:szCs w:val="32"/>
        </w:rPr>
      </w:pPr>
      <w:r>
        <w:rPr>
          <w:rFonts w:hint="eastAsia" w:ascii="微软雅黑" w:hAnsi="微软雅黑" w:eastAsia="微软雅黑" w:cs="宋体"/>
          <w:color w:val="333333"/>
          <w:kern w:val="0"/>
          <w:sz w:val="32"/>
          <w:szCs w:val="32"/>
        </w:rPr>
        <w:t>（一）评价结论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  <w:t>根据宁乡市2022年部门整体支出绩效评价指标体系测算，本单位部门整体支出绩效评价得分是：基础工作管理29分，绩效目标管理14分，绩效运行监控24分，绩效评价实施13分，评价结果应用14分，总绩效为94分,评价结果为“优秀”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/>
        <w:textAlignment w:val="auto"/>
        <w:rPr>
          <w:rFonts w:hint="eastAsia" w:ascii="微软雅黑" w:hAnsi="微软雅黑" w:eastAsia="微软雅黑" w:cs="宋体"/>
          <w:color w:val="333333"/>
          <w:kern w:val="0"/>
          <w:sz w:val="32"/>
          <w:szCs w:val="32"/>
        </w:rPr>
      </w:pPr>
      <w:r>
        <w:rPr>
          <w:rFonts w:hint="eastAsia" w:ascii="微软雅黑" w:hAnsi="微软雅黑" w:eastAsia="微软雅黑" w:cs="宋体"/>
          <w:color w:val="333333"/>
          <w:kern w:val="0"/>
          <w:sz w:val="32"/>
          <w:szCs w:val="32"/>
        </w:rPr>
        <w:t>(二）存在问题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  <w:t>1.预算执行缺乏强有力的约束机制。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  <w:t>2.资产管理需进一步加强。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/>
        <w:textAlignment w:val="auto"/>
        <w:rPr>
          <w:rFonts w:hint="eastAsia" w:ascii="微软雅黑" w:hAnsi="微软雅黑" w:eastAsia="微软雅黑" w:cs="宋体"/>
          <w:color w:val="333333"/>
          <w:kern w:val="0"/>
          <w:sz w:val="32"/>
          <w:szCs w:val="32"/>
        </w:rPr>
      </w:pPr>
      <w:r>
        <w:rPr>
          <w:rFonts w:hint="eastAsia" w:ascii="微软雅黑" w:hAnsi="微软雅黑" w:eastAsia="微软雅黑" w:cs="宋体"/>
          <w:color w:val="333333"/>
          <w:kern w:val="0"/>
          <w:sz w:val="32"/>
          <w:szCs w:val="32"/>
        </w:rPr>
        <w:t>（三）改进建议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  <w:t>1.强化项目资金管理，提升资金使用效益。年度内合理编制项目资金用款计划，督促各项目单位按进度实施项目及申报资金，避免资金长期滞留账上，未能发挥其应有的效益。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  <w:t>2.强化支出预算管理，确保重点支出。一是牢固树立勤俭办事意识，反对铺张浪费，从严控制一般性公务开支，全面推行政府采购和公务卡消费制度，加强对“三公”经费的管理，做到简化公务接待，严格控制接待标准，严禁用公款大吃大喝。二是确保各项重点支出，严格执行支出预算，集中财力保工资、保民生、保稳定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  <w:t>3.加强资产管理，提高资产使用效率。镇已将国有资产全部纳入资产信息系统进行管理，但重购轻管现象还是比较普遍。镇将制定资产管理的具体工作方案，健全工作机制，建立起财产定期盘点制度，新增的资产及时登记入账，并设置资产明细账和固定资产实物卡片，对资产进行日常跟踪管理和定期核查盘点。    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  <w:t>特此报告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  <w:t xml:space="preserve">                               宁乡市横市镇财政所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5440" w:hanging="5440" w:hangingChars="1700"/>
        <w:textAlignment w:val="auto"/>
        <w:rPr>
          <w:rFonts w:hint="default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  <w:t xml:space="preserve">                                             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-SA"/>
        </w:rPr>
        <w:t>2023年4月6日</w:t>
      </w:r>
    </w:p>
    <w:p>
      <w:pPr>
        <w:rPr>
          <w:rFonts w:hint="eastAsia" w:ascii="仿宋_GB2312" w:hAnsi="仿宋_GB2312" w:eastAsia="仿宋_GB2312" w:cs="仿宋_GB2312"/>
          <w:color w:val="333333"/>
          <w:kern w:val="0"/>
          <w:sz w:val="24"/>
          <w:szCs w:val="24"/>
          <w:lang w:val="en-US" w:eastAsia="zh-CN" w:bidi="ar-SA"/>
        </w:rPr>
      </w:pP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3AB5D3F"/>
    <w:multiLevelType w:val="singleLevel"/>
    <w:tmpl w:val="B3AB5D3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293731"/>
    <w:rsid w:val="00143CDF"/>
    <w:rsid w:val="002B705D"/>
    <w:rsid w:val="00FE5262"/>
    <w:rsid w:val="01540841"/>
    <w:rsid w:val="016D2509"/>
    <w:rsid w:val="02831985"/>
    <w:rsid w:val="02872708"/>
    <w:rsid w:val="04A54AE7"/>
    <w:rsid w:val="057A761A"/>
    <w:rsid w:val="05CB7112"/>
    <w:rsid w:val="0B8E234E"/>
    <w:rsid w:val="0BA32529"/>
    <w:rsid w:val="0D1870EA"/>
    <w:rsid w:val="0DE85E2D"/>
    <w:rsid w:val="0E1408F0"/>
    <w:rsid w:val="0E534D29"/>
    <w:rsid w:val="10082FC3"/>
    <w:rsid w:val="10665DF4"/>
    <w:rsid w:val="10BD3CE9"/>
    <w:rsid w:val="11F72886"/>
    <w:rsid w:val="13190710"/>
    <w:rsid w:val="1337378E"/>
    <w:rsid w:val="134C4F78"/>
    <w:rsid w:val="15CA1734"/>
    <w:rsid w:val="1612196F"/>
    <w:rsid w:val="167C4BF5"/>
    <w:rsid w:val="17196867"/>
    <w:rsid w:val="17F0271A"/>
    <w:rsid w:val="1A50536C"/>
    <w:rsid w:val="1BD60273"/>
    <w:rsid w:val="1C2800FA"/>
    <w:rsid w:val="1C5276EA"/>
    <w:rsid w:val="1CD63AB4"/>
    <w:rsid w:val="1D5A75AE"/>
    <w:rsid w:val="1EA71F39"/>
    <w:rsid w:val="204A55F5"/>
    <w:rsid w:val="213C4C1A"/>
    <w:rsid w:val="256A7A28"/>
    <w:rsid w:val="265A5F1A"/>
    <w:rsid w:val="2747701A"/>
    <w:rsid w:val="27532760"/>
    <w:rsid w:val="279B6463"/>
    <w:rsid w:val="28EC7EA3"/>
    <w:rsid w:val="29010CC2"/>
    <w:rsid w:val="293F0248"/>
    <w:rsid w:val="29635B1D"/>
    <w:rsid w:val="2B014517"/>
    <w:rsid w:val="2C1A68AB"/>
    <w:rsid w:val="2D4214C5"/>
    <w:rsid w:val="2D4274C2"/>
    <w:rsid w:val="2E2A5477"/>
    <w:rsid w:val="2E466F28"/>
    <w:rsid w:val="30F41009"/>
    <w:rsid w:val="340810CF"/>
    <w:rsid w:val="342224E1"/>
    <w:rsid w:val="34F1548F"/>
    <w:rsid w:val="36C96638"/>
    <w:rsid w:val="3773714D"/>
    <w:rsid w:val="3A462320"/>
    <w:rsid w:val="3A4C2AD7"/>
    <w:rsid w:val="3A7769B8"/>
    <w:rsid w:val="3B213854"/>
    <w:rsid w:val="3CF45DED"/>
    <w:rsid w:val="3CFE36FD"/>
    <w:rsid w:val="3D1E061B"/>
    <w:rsid w:val="3D4850E5"/>
    <w:rsid w:val="3D90687A"/>
    <w:rsid w:val="405243A7"/>
    <w:rsid w:val="40C965B5"/>
    <w:rsid w:val="41464447"/>
    <w:rsid w:val="439D7A79"/>
    <w:rsid w:val="43CB7CF7"/>
    <w:rsid w:val="43CC00FA"/>
    <w:rsid w:val="43FB5E33"/>
    <w:rsid w:val="44EB5757"/>
    <w:rsid w:val="459957FA"/>
    <w:rsid w:val="47121B74"/>
    <w:rsid w:val="47552659"/>
    <w:rsid w:val="47B5595E"/>
    <w:rsid w:val="497A7C3C"/>
    <w:rsid w:val="4A161F3A"/>
    <w:rsid w:val="4A632E05"/>
    <w:rsid w:val="4B825A30"/>
    <w:rsid w:val="4BDD0FE3"/>
    <w:rsid w:val="4E294169"/>
    <w:rsid w:val="4EC279FC"/>
    <w:rsid w:val="4EED37D3"/>
    <w:rsid w:val="4F7D363D"/>
    <w:rsid w:val="52696FF0"/>
    <w:rsid w:val="53B03133"/>
    <w:rsid w:val="5406520F"/>
    <w:rsid w:val="54520A1A"/>
    <w:rsid w:val="54DB21D2"/>
    <w:rsid w:val="554B3004"/>
    <w:rsid w:val="56F41BE2"/>
    <w:rsid w:val="59751D32"/>
    <w:rsid w:val="5CCC5A18"/>
    <w:rsid w:val="5E1A3008"/>
    <w:rsid w:val="5E7F583B"/>
    <w:rsid w:val="5EA2563B"/>
    <w:rsid w:val="60103732"/>
    <w:rsid w:val="60293731"/>
    <w:rsid w:val="62B9005E"/>
    <w:rsid w:val="63A762DF"/>
    <w:rsid w:val="63E15275"/>
    <w:rsid w:val="64E4712F"/>
    <w:rsid w:val="67AF7064"/>
    <w:rsid w:val="67E84B50"/>
    <w:rsid w:val="6AB07183"/>
    <w:rsid w:val="6B97112C"/>
    <w:rsid w:val="6C2C2F82"/>
    <w:rsid w:val="6C5E14A6"/>
    <w:rsid w:val="6C8C12E7"/>
    <w:rsid w:val="6F270697"/>
    <w:rsid w:val="703B1AEB"/>
    <w:rsid w:val="708E4851"/>
    <w:rsid w:val="70A92B5F"/>
    <w:rsid w:val="731250B0"/>
    <w:rsid w:val="7453078A"/>
    <w:rsid w:val="75C11475"/>
    <w:rsid w:val="762E7C7B"/>
    <w:rsid w:val="79B02EA3"/>
    <w:rsid w:val="79CA7B36"/>
    <w:rsid w:val="7A3F33D2"/>
    <w:rsid w:val="7A9B3880"/>
    <w:rsid w:val="7FD95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99"/>
    <w:pPr>
      <w:spacing w:after="120"/>
    </w:p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67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2023-04-04T06:45:00Z</dcterms:created>
  <dc:creator>Administrator</dc:creator>
  <cp:lastModifiedBy>Administrator</cp:lastModifiedBy>
  <cp:lastPrinted>2023-04-06T02:18:00Z</cp:lastPrinted>
  <dcterms:modified xsi:type="dcterms:W3CDTF">2023-04-20T02:57:11Z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