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3596" w:rsidRDefault="00AE5536">
      <w:pPr>
        <w:spacing w:line="576" w:lineRule="exact"/>
        <w:jc w:val="center"/>
        <w:rPr>
          <w:rStyle w:val="font51"/>
          <w:rFonts w:ascii="宋体" w:eastAsia="宋体" w:hAnsi="宋体" w:cs="宋体"/>
          <w:b w:val="0"/>
          <w:bCs/>
        </w:rPr>
      </w:pPr>
      <w:r>
        <w:rPr>
          <w:rFonts w:ascii="宋体" w:hAnsi="宋体" w:cs="宋体" w:hint="eastAsia"/>
          <w:bCs/>
          <w:color w:val="000000"/>
          <w:kern w:val="0"/>
          <w:sz w:val="44"/>
          <w:szCs w:val="44"/>
        </w:rPr>
        <w:t>城郊街道2022年度部门整体支出绩效</w:t>
      </w:r>
      <w:r>
        <w:rPr>
          <w:rStyle w:val="font51"/>
          <w:rFonts w:ascii="宋体" w:eastAsia="宋体" w:hAnsi="宋体" w:cs="宋体" w:hint="eastAsia"/>
          <w:b w:val="0"/>
          <w:bCs/>
        </w:rPr>
        <w:t>自评</w:t>
      </w:r>
    </w:p>
    <w:p w:rsidR="00233596" w:rsidRDefault="00AE5536">
      <w:pPr>
        <w:spacing w:line="576" w:lineRule="exact"/>
        <w:jc w:val="center"/>
        <w:rPr>
          <w:rStyle w:val="font51"/>
          <w:b w:val="0"/>
          <w:bCs/>
        </w:rPr>
      </w:pPr>
      <w:r>
        <w:rPr>
          <w:rStyle w:val="font51"/>
          <w:rFonts w:ascii="宋体" w:eastAsia="宋体" w:hAnsi="宋体" w:cs="宋体" w:hint="eastAsia"/>
          <w:b w:val="0"/>
          <w:bCs/>
        </w:rPr>
        <w:t>报告</w:t>
      </w:r>
    </w:p>
    <w:p w:rsidR="00233596" w:rsidRDefault="00233596">
      <w:pPr>
        <w:spacing w:line="576" w:lineRule="exact"/>
        <w:ind w:firstLineChars="200" w:firstLine="640"/>
        <w:rPr>
          <w:rStyle w:val="font31"/>
          <w:rFonts w:hAnsi="仿宋_GB2312"/>
          <w:sz w:val="32"/>
          <w:szCs w:val="32"/>
        </w:rPr>
      </w:pP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根据《宁乡市财政局关于印发〈宁乡市全面实施预算绩效管理的实施办法〉的通知》（宁财[2023]3号和预算绩效管理的要求，城郊街道办事处对2022年度部门整体支出绩效开展自评，评价结果如下：</w:t>
      </w:r>
    </w:p>
    <w:p w:rsidR="00233596" w:rsidRDefault="00AE5536">
      <w:pPr>
        <w:spacing w:line="576" w:lineRule="exact"/>
        <w:ind w:firstLineChars="200" w:firstLine="640"/>
        <w:rPr>
          <w:rStyle w:val="font31"/>
          <w:rFonts w:ascii="黑体" w:eastAsia="黑体" w:hAnsi="黑体" w:cs="黑体"/>
          <w:sz w:val="32"/>
          <w:szCs w:val="32"/>
        </w:rPr>
      </w:pPr>
      <w:r>
        <w:rPr>
          <w:rStyle w:val="font31"/>
          <w:rFonts w:ascii="黑体" w:eastAsia="黑体" w:hAnsi="黑体" w:cs="黑体" w:hint="eastAsia"/>
          <w:sz w:val="32"/>
          <w:szCs w:val="32"/>
        </w:rPr>
        <w:t>一、部门概况</w:t>
      </w:r>
    </w:p>
    <w:p w:rsidR="00233596" w:rsidRDefault="00AE5536">
      <w:pPr>
        <w:spacing w:line="576" w:lineRule="exact"/>
        <w:ind w:leftChars="200" w:left="640"/>
        <w:rPr>
          <w:rStyle w:val="font31"/>
          <w:rFonts w:ascii="楷体_GB2312" w:eastAsia="楷体_GB2312" w:hAnsi="楷体_GB2312" w:cs="楷体_GB2312"/>
          <w:b/>
          <w:bCs/>
          <w:sz w:val="32"/>
          <w:szCs w:val="32"/>
        </w:rPr>
      </w:pPr>
      <w:r>
        <w:rPr>
          <w:rStyle w:val="font31"/>
          <w:rFonts w:ascii="楷体_GB2312" w:eastAsia="楷体_GB2312" w:hAnsi="楷体_GB2312" w:cs="楷体_GB2312" w:hint="eastAsia"/>
          <w:b/>
          <w:bCs/>
          <w:sz w:val="32"/>
          <w:szCs w:val="32"/>
        </w:rPr>
        <w:t>（一）职能职责</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办事处：负责政府全面工作；负责编制本级财政预算、结算，组织预算收入和执行预算支出，负责加强街道所属各中心（所）的财务管理和监督等。</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司法所：提供法律保障、法律服务、法制宣传教育等，指导、管理人民调解工作，指导管理基层法律服务工作等。</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 xml:space="preserve"> 社会事务综合服务中心：社会救助、低保发放等；计划生育政策、法规咨询服务，生育证、流动人口证发放等；组织开展各种文化娱乐活动，搜集整理及保护本镇民间文化艺术遗产，宣传党的路线、方针、政策，办好本镇宣传工作等。</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 xml:space="preserve">  政务服务中心：宣传、贯彻国家相关法律、法规、方针政策，组织编制、实施村镇规划和年度建设计划，加强村镇规划建设管理和监督等。</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 xml:space="preserve">  农业综合服务中心：宣传国家产业方面政策，农作物新品</w:t>
      </w:r>
      <w:r>
        <w:rPr>
          <w:rStyle w:val="font31"/>
          <w:rFonts w:hAnsi="仿宋_GB2312" w:hint="eastAsia"/>
          <w:sz w:val="32"/>
          <w:szCs w:val="32"/>
        </w:rPr>
        <w:lastRenderedPageBreak/>
        <w:t>种、新技术推广服务等。</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 xml:space="preserve">  综合执法大队：认真贯彻落实国家相关政策、法律、法规、及相关文件精神，加强对安全生产工作的组织领导和管理，确保安全生产工作正常有序开展，按规定要求上报事故，完成其他安全工作任务等。</w:t>
      </w:r>
    </w:p>
    <w:p w:rsidR="00233596" w:rsidRDefault="00AE5536">
      <w:pPr>
        <w:numPr>
          <w:ilvl w:val="0"/>
          <w:numId w:val="1"/>
        </w:numPr>
        <w:spacing w:line="576" w:lineRule="exact"/>
        <w:ind w:leftChars="200" w:left="640"/>
        <w:rPr>
          <w:rStyle w:val="font31"/>
          <w:rFonts w:ascii="楷体_GB2312" w:eastAsia="楷体_GB2312" w:hAnsi="楷体_GB2312" w:cs="楷体_GB2312"/>
          <w:b/>
          <w:bCs/>
          <w:sz w:val="32"/>
          <w:szCs w:val="32"/>
        </w:rPr>
      </w:pPr>
      <w:r>
        <w:rPr>
          <w:rStyle w:val="font31"/>
          <w:rFonts w:ascii="楷体_GB2312" w:eastAsia="楷体_GB2312" w:hAnsi="楷体_GB2312" w:cs="楷体_GB2312" w:hint="eastAsia"/>
          <w:b/>
          <w:bCs/>
          <w:sz w:val="32"/>
          <w:szCs w:val="32"/>
        </w:rPr>
        <w:t>机构设置</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2022年城郊街道共辖10个村（社区）、193个居民小组，街道总人口</w:t>
      </w:r>
      <w:r w:rsidR="00CD00DF" w:rsidRPr="00CD00DF">
        <w:rPr>
          <w:rStyle w:val="font31"/>
          <w:rFonts w:hAnsi="仿宋_GB2312" w:hint="eastAsia"/>
          <w:color w:val="auto"/>
          <w:sz w:val="32"/>
          <w:szCs w:val="32"/>
        </w:rPr>
        <w:t>9.6</w:t>
      </w:r>
      <w:r>
        <w:rPr>
          <w:rStyle w:val="font31"/>
          <w:rFonts w:hAnsi="仿宋_GB2312" w:hint="eastAsia"/>
          <w:sz w:val="32"/>
          <w:szCs w:val="32"/>
        </w:rPr>
        <w:t>万，现有村（社区）干部</w:t>
      </w:r>
      <w:r w:rsidR="00CD00DF">
        <w:rPr>
          <w:rStyle w:val="font31"/>
          <w:rFonts w:hAnsi="仿宋_GB2312" w:hint="eastAsia"/>
          <w:sz w:val="32"/>
          <w:szCs w:val="32"/>
        </w:rPr>
        <w:t>74</w:t>
      </w:r>
      <w:r>
        <w:rPr>
          <w:rStyle w:val="font31"/>
          <w:rFonts w:hAnsi="仿宋_GB2312" w:hint="eastAsia"/>
          <w:sz w:val="32"/>
          <w:szCs w:val="32"/>
        </w:rPr>
        <w:t>人。街道办事处及其工作机构分设机关、一所三中心及一队，即办事处、司法所、社会事务综合服务中心、农业综合服务中心、政务服务中心、综合行政执法队。街道办事处财政供养实有在职117人，其中：行政人员47人（工勤人员算行政）、全额事业人员41人、差额事业人员29人。退休60人。</w:t>
      </w:r>
    </w:p>
    <w:p w:rsidR="00233596" w:rsidRDefault="00AE5536">
      <w:pPr>
        <w:spacing w:line="576" w:lineRule="exact"/>
        <w:ind w:firstLineChars="200" w:firstLine="643"/>
        <w:rPr>
          <w:rStyle w:val="font31"/>
          <w:rFonts w:hAnsi="仿宋_GB2312"/>
          <w:sz w:val="32"/>
          <w:szCs w:val="32"/>
        </w:rPr>
      </w:pPr>
      <w:r>
        <w:rPr>
          <w:rStyle w:val="font31"/>
          <w:rFonts w:ascii="楷体_GB2312" w:eastAsia="楷体_GB2312" w:hAnsi="楷体_GB2312" w:cs="楷体_GB2312" w:hint="eastAsia"/>
          <w:b/>
          <w:bCs/>
          <w:sz w:val="32"/>
          <w:szCs w:val="32"/>
        </w:rPr>
        <w:t>（三）2</w:t>
      </w:r>
      <w:r w:rsidRPr="00CD00DF">
        <w:rPr>
          <w:rStyle w:val="font31"/>
          <w:rFonts w:ascii="楷体_GB2312" w:eastAsia="楷体_GB2312" w:hAnsi="楷体_GB2312" w:cs="楷体_GB2312" w:hint="eastAsia"/>
          <w:b/>
          <w:bCs/>
          <w:color w:val="auto"/>
          <w:sz w:val="32"/>
          <w:szCs w:val="32"/>
        </w:rPr>
        <w:t>022年办事处工作目标：</w:t>
      </w:r>
      <w:r w:rsidR="00CD00DF">
        <w:rPr>
          <w:rStyle w:val="font31"/>
          <w:rFonts w:hAnsi="仿宋_GB2312" w:hint="eastAsia"/>
          <w:sz w:val="32"/>
          <w:szCs w:val="32"/>
        </w:rPr>
        <w:t>2022</w:t>
      </w:r>
      <w:r>
        <w:rPr>
          <w:rStyle w:val="font31"/>
          <w:rFonts w:hAnsi="仿宋_GB2312" w:hint="eastAsia"/>
          <w:sz w:val="32"/>
          <w:szCs w:val="32"/>
        </w:rPr>
        <w:t>年在宁乡市委、市政府坚强领导下，城郊街道高举习近平新时代中国特色社会主义思想伟大旗帜，认真贯彻落实中央、省委、长沙市委和宁乡市委工作会议精神，心往一处想、劲往一处使，众志成城、奋勇拼搏，在经济社会高质量发展的道路上迈出了坚实步伐，“宁乡门户，大美城郊”正雏形初现，逐梦起航。</w:t>
      </w:r>
    </w:p>
    <w:p w:rsidR="00233596" w:rsidRDefault="00AE5536" w:rsidP="004C0FEF">
      <w:pPr>
        <w:spacing w:line="576" w:lineRule="exact"/>
        <w:ind w:firstLineChars="200" w:firstLine="613"/>
        <w:rPr>
          <w:rStyle w:val="font31"/>
          <w:rFonts w:ascii="楷体_GB2312" w:eastAsia="楷体_GB2312" w:hAnsi="楷体_GB2312" w:cs="楷体_GB2312"/>
          <w:b/>
          <w:bCs/>
          <w:w w:val="95"/>
          <w:sz w:val="32"/>
          <w:szCs w:val="32"/>
        </w:rPr>
      </w:pPr>
      <w:r>
        <w:rPr>
          <w:rStyle w:val="font31"/>
          <w:rFonts w:ascii="楷体_GB2312" w:eastAsia="楷体_GB2312" w:hAnsi="楷体_GB2312" w:cs="楷体_GB2312" w:hint="eastAsia"/>
          <w:b/>
          <w:bCs/>
          <w:w w:val="95"/>
          <w:sz w:val="32"/>
          <w:szCs w:val="32"/>
        </w:rPr>
        <w:t>（四）部门整体支出规模、使用方向和主要内容、涉及范围等。</w:t>
      </w:r>
    </w:p>
    <w:p w:rsidR="00233596" w:rsidRDefault="00AE5536">
      <w:pPr>
        <w:spacing w:line="576" w:lineRule="exact"/>
        <w:ind w:leftChars="200" w:left="640"/>
        <w:rPr>
          <w:rStyle w:val="font31"/>
          <w:rFonts w:hAnsi="仿宋_GB2312"/>
          <w:sz w:val="32"/>
          <w:szCs w:val="32"/>
        </w:rPr>
      </w:pPr>
      <w:r>
        <w:rPr>
          <w:rStyle w:val="font31"/>
          <w:rFonts w:hAnsi="仿宋_GB2312" w:hint="eastAsia"/>
          <w:sz w:val="32"/>
          <w:szCs w:val="32"/>
        </w:rPr>
        <w:t>1、收入支出预算安排情况。</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2022年收支决算整体情况，本年决算收入合计6414.89万</w:t>
      </w:r>
      <w:r>
        <w:rPr>
          <w:rStyle w:val="font31"/>
          <w:rFonts w:hAnsi="仿宋_GB2312" w:hint="eastAsia"/>
          <w:sz w:val="32"/>
          <w:szCs w:val="32"/>
        </w:rPr>
        <w:lastRenderedPageBreak/>
        <w:t>元，为年初预算7037.16万元的91%，其中：一般公共财政预算拨款 万元，政府性基金补助收入 万元，其他收入（非税特设等专项资金） 万元。本年决算支出合计6414.89万元，为年初预算7037.16万元的91%，其中：基本支出2983.61万元，项目支出3431.28万元。</w:t>
      </w:r>
    </w:p>
    <w:p w:rsidR="00233596" w:rsidRDefault="00233596">
      <w:pPr>
        <w:spacing w:line="576" w:lineRule="exact"/>
        <w:ind w:firstLineChars="200" w:firstLine="640"/>
        <w:rPr>
          <w:rStyle w:val="font31"/>
          <w:rFonts w:hAnsi="仿宋_GB2312"/>
          <w:sz w:val="32"/>
          <w:szCs w:val="32"/>
        </w:rPr>
      </w:pPr>
    </w:p>
    <w:tbl>
      <w:tblPr>
        <w:tblW w:w="7480" w:type="dxa"/>
        <w:tblInd w:w="638" w:type="dxa"/>
        <w:tblLook w:val="04A0"/>
      </w:tblPr>
      <w:tblGrid>
        <w:gridCol w:w="1030"/>
        <w:gridCol w:w="950"/>
        <w:gridCol w:w="1320"/>
        <w:gridCol w:w="960"/>
        <w:gridCol w:w="960"/>
        <w:gridCol w:w="1300"/>
        <w:gridCol w:w="960"/>
      </w:tblGrid>
      <w:tr w:rsidR="00233596">
        <w:trPr>
          <w:trHeight w:val="255"/>
        </w:trPr>
        <w:tc>
          <w:tcPr>
            <w:tcW w:w="103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预算情况</w:t>
            </w:r>
          </w:p>
        </w:tc>
        <w:tc>
          <w:tcPr>
            <w:tcW w:w="9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合计</w:t>
            </w:r>
          </w:p>
        </w:tc>
        <w:tc>
          <w:tcPr>
            <w:tcW w:w="3240" w:type="dxa"/>
            <w:gridSpan w:val="3"/>
            <w:tcBorders>
              <w:top w:val="single" w:sz="4" w:space="0" w:color="auto"/>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基本支出</w:t>
            </w:r>
          </w:p>
        </w:tc>
        <w:tc>
          <w:tcPr>
            <w:tcW w:w="2260" w:type="dxa"/>
            <w:gridSpan w:val="2"/>
            <w:tcBorders>
              <w:top w:val="single" w:sz="4" w:space="0" w:color="auto"/>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项目支出</w:t>
            </w:r>
          </w:p>
        </w:tc>
      </w:tr>
      <w:tr w:rsidR="00233596">
        <w:trPr>
          <w:trHeight w:val="255"/>
        </w:trPr>
        <w:tc>
          <w:tcPr>
            <w:tcW w:w="1030" w:type="dxa"/>
            <w:vMerge/>
            <w:tcBorders>
              <w:top w:val="single" w:sz="4" w:space="0" w:color="auto"/>
              <w:left w:val="single" w:sz="4" w:space="0" w:color="auto"/>
              <w:bottom w:val="single" w:sz="4" w:space="0" w:color="000000"/>
              <w:right w:val="single" w:sz="4" w:space="0" w:color="auto"/>
            </w:tcBorders>
            <w:vAlign w:val="center"/>
          </w:tcPr>
          <w:p w:rsidR="00233596" w:rsidRDefault="00233596">
            <w:pPr>
              <w:widowControl/>
              <w:jc w:val="left"/>
              <w:rPr>
                <w:rFonts w:ascii="宋体" w:hAnsi="宋体" w:cs="Arial"/>
                <w:color w:val="000000"/>
                <w:kern w:val="0"/>
                <w:sz w:val="20"/>
                <w:szCs w:val="20"/>
              </w:rPr>
            </w:pPr>
          </w:p>
        </w:tc>
        <w:tc>
          <w:tcPr>
            <w:tcW w:w="950" w:type="dxa"/>
            <w:vMerge/>
            <w:tcBorders>
              <w:top w:val="single" w:sz="4" w:space="0" w:color="auto"/>
              <w:left w:val="single" w:sz="4" w:space="0" w:color="auto"/>
              <w:bottom w:val="single" w:sz="4" w:space="0" w:color="auto"/>
              <w:right w:val="single" w:sz="4" w:space="0" w:color="auto"/>
            </w:tcBorders>
            <w:vAlign w:val="center"/>
          </w:tcPr>
          <w:p w:rsidR="00233596" w:rsidRDefault="00233596">
            <w:pPr>
              <w:widowControl/>
              <w:jc w:val="left"/>
              <w:rPr>
                <w:rFonts w:ascii="宋体" w:hAnsi="宋体" w:cs="Arial"/>
                <w:color w:val="000000"/>
                <w:kern w:val="0"/>
                <w:sz w:val="20"/>
                <w:szCs w:val="20"/>
              </w:rPr>
            </w:pPr>
          </w:p>
        </w:tc>
        <w:tc>
          <w:tcPr>
            <w:tcW w:w="1320" w:type="dxa"/>
            <w:tcBorders>
              <w:top w:val="nil"/>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小计（万元）</w:t>
            </w:r>
          </w:p>
        </w:tc>
        <w:tc>
          <w:tcPr>
            <w:tcW w:w="960" w:type="dxa"/>
            <w:tcBorders>
              <w:top w:val="nil"/>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人员经费</w:t>
            </w:r>
          </w:p>
        </w:tc>
        <w:tc>
          <w:tcPr>
            <w:tcW w:w="960" w:type="dxa"/>
            <w:tcBorders>
              <w:top w:val="nil"/>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公用经费</w:t>
            </w:r>
          </w:p>
        </w:tc>
        <w:tc>
          <w:tcPr>
            <w:tcW w:w="1300" w:type="dxa"/>
            <w:tcBorders>
              <w:top w:val="nil"/>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小计（万元）</w:t>
            </w:r>
          </w:p>
        </w:tc>
        <w:tc>
          <w:tcPr>
            <w:tcW w:w="960" w:type="dxa"/>
            <w:tcBorders>
              <w:top w:val="nil"/>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部门预算</w:t>
            </w:r>
          </w:p>
        </w:tc>
      </w:tr>
      <w:tr w:rsidR="00233596">
        <w:trPr>
          <w:trHeight w:val="465"/>
        </w:trPr>
        <w:tc>
          <w:tcPr>
            <w:tcW w:w="1030" w:type="dxa"/>
            <w:tcBorders>
              <w:top w:val="nil"/>
              <w:left w:val="single" w:sz="4" w:space="0" w:color="auto"/>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年初财政拨款预算</w:t>
            </w:r>
          </w:p>
        </w:tc>
        <w:tc>
          <w:tcPr>
            <w:tcW w:w="950" w:type="dxa"/>
            <w:tcBorders>
              <w:top w:val="nil"/>
              <w:left w:val="nil"/>
              <w:bottom w:val="single" w:sz="4" w:space="0" w:color="auto"/>
              <w:right w:val="single" w:sz="4" w:space="0" w:color="auto"/>
            </w:tcBorders>
            <w:shd w:val="clear" w:color="auto" w:fill="auto"/>
            <w:vAlign w:val="center"/>
          </w:tcPr>
          <w:p w:rsidR="00233596" w:rsidRDefault="00BD05F4">
            <w:pPr>
              <w:widowControl/>
              <w:jc w:val="center"/>
              <w:rPr>
                <w:rFonts w:ascii="宋体" w:hAnsi="宋体" w:cs="Arial"/>
                <w:color w:val="000000"/>
                <w:kern w:val="0"/>
                <w:sz w:val="20"/>
                <w:szCs w:val="20"/>
              </w:rPr>
            </w:pPr>
            <w:r>
              <w:rPr>
                <w:rFonts w:ascii="宋体" w:hAnsi="宋体" w:cs="Arial" w:hint="eastAsia"/>
                <w:color w:val="000000"/>
                <w:kern w:val="0"/>
                <w:sz w:val="20"/>
                <w:szCs w:val="20"/>
              </w:rPr>
              <w:t>2274.2</w:t>
            </w:r>
          </w:p>
        </w:tc>
        <w:tc>
          <w:tcPr>
            <w:tcW w:w="1320" w:type="dxa"/>
            <w:tcBorders>
              <w:top w:val="nil"/>
              <w:left w:val="nil"/>
              <w:bottom w:val="single" w:sz="4" w:space="0" w:color="auto"/>
              <w:right w:val="single" w:sz="4" w:space="0" w:color="auto"/>
            </w:tcBorders>
            <w:shd w:val="clear" w:color="auto" w:fill="auto"/>
            <w:vAlign w:val="center"/>
          </w:tcPr>
          <w:p w:rsidR="00233596" w:rsidRDefault="00787EE4">
            <w:pPr>
              <w:widowControl/>
              <w:jc w:val="center"/>
              <w:rPr>
                <w:rFonts w:ascii="宋体" w:hAnsi="宋体" w:cs="Arial"/>
                <w:color w:val="000000"/>
                <w:kern w:val="0"/>
                <w:sz w:val="20"/>
                <w:szCs w:val="20"/>
              </w:rPr>
            </w:pPr>
            <w:r>
              <w:rPr>
                <w:rFonts w:ascii="宋体" w:hAnsi="宋体" w:cs="Arial" w:hint="eastAsia"/>
                <w:color w:val="000000"/>
                <w:kern w:val="0"/>
                <w:sz w:val="20"/>
                <w:szCs w:val="20"/>
              </w:rPr>
              <w:t>1887.07</w:t>
            </w:r>
          </w:p>
        </w:tc>
        <w:tc>
          <w:tcPr>
            <w:tcW w:w="960" w:type="dxa"/>
            <w:tcBorders>
              <w:top w:val="nil"/>
              <w:left w:val="nil"/>
              <w:bottom w:val="single" w:sz="4" w:space="0" w:color="auto"/>
              <w:right w:val="single" w:sz="4" w:space="0" w:color="auto"/>
            </w:tcBorders>
            <w:shd w:val="clear" w:color="auto" w:fill="auto"/>
            <w:vAlign w:val="center"/>
          </w:tcPr>
          <w:p w:rsidR="00233596" w:rsidRDefault="00787EE4">
            <w:pPr>
              <w:widowControl/>
              <w:jc w:val="center"/>
              <w:rPr>
                <w:rFonts w:ascii="宋体" w:hAnsi="宋体" w:cs="Arial"/>
                <w:color w:val="000000"/>
                <w:kern w:val="0"/>
                <w:sz w:val="20"/>
                <w:szCs w:val="20"/>
              </w:rPr>
            </w:pPr>
            <w:r>
              <w:rPr>
                <w:rFonts w:ascii="宋体" w:hAnsi="宋体" w:cs="Arial" w:hint="eastAsia"/>
                <w:color w:val="000000"/>
                <w:kern w:val="0"/>
                <w:sz w:val="20"/>
                <w:szCs w:val="20"/>
              </w:rPr>
              <w:t>1708.52</w:t>
            </w:r>
          </w:p>
        </w:tc>
        <w:tc>
          <w:tcPr>
            <w:tcW w:w="960" w:type="dxa"/>
            <w:tcBorders>
              <w:top w:val="nil"/>
              <w:left w:val="nil"/>
              <w:bottom w:val="single" w:sz="4" w:space="0" w:color="auto"/>
              <w:right w:val="single" w:sz="4" w:space="0" w:color="auto"/>
            </w:tcBorders>
            <w:shd w:val="clear" w:color="auto" w:fill="auto"/>
            <w:vAlign w:val="center"/>
          </w:tcPr>
          <w:p w:rsidR="00233596" w:rsidRDefault="00787EE4">
            <w:pPr>
              <w:widowControl/>
              <w:jc w:val="center"/>
              <w:rPr>
                <w:rFonts w:ascii="宋体" w:hAnsi="宋体" w:cs="Arial"/>
                <w:color w:val="000000"/>
                <w:kern w:val="0"/>
                <w:sz w:val="20"/>
                <w:szCs w:val="20"/>
              </w:rPr>
            </w:pPr>
            <w:r>
              <w:rPr>
                <w:rFonts w:ascii="宋体" w:hAnsi="宋体" w:cs="Arial" w:hint="eastAsia"/>
                <w:color w:val="000000"/>
                <w:kern w:val="0"/>
                <w:sz w:val="20"/>
                <w:szCs w:val="20"/>
              </w:rPr>
              <w:t>178.55</w:t>
            </w:r>
          </w:p>
        </w:tc>
        <w:tc>
          <w:tcPr>
            <w:tcW w:w="1300" w:type="dxa"/>
            <w:tcBorders>
              <w:top w:val="nil"/>
              <w:left w:val="nil"/>
              <w:bottom w:val="single" w:sz="4" w:space="0" w:color="auto"/>
              <w:right w:val="single" w:sz="4" w:space="0" w:color="auto"/>
            </w:tcBorders>
            <w:shd w:val="clear" w:color="auto" w:fill="auto"/>
            <w:vAlign w:val="center"/>
          </w:tcPr>
          <w:p w:rsidR="00233596" w:rsidRDefault="00787EE4">
            <w:pPr>
              <w:widowControl/>
              <w:jc w:val="center"/>
              <w:rPr>
                <w:rFonts w:ascii="宋体" w:hAnsi="宋体" w:cs="Arial"/>
                <w:color w:val="000000"/>
                <w:kern w:val="0"/>
                <w:sz w:val="20"/>
                <w:szCs w:val="20"/>
              </w:rPr>
            </w:pPr>
            <w:r>
              <w:rPr>
                <w:rFonts w:ascii="宋体" w:hAnsi="宋体" w:cs="Arial" w:hint="eastAsia"/>
                <w:color w:val="000000"/>
                <w:kern w:val="0"/>
                <w:sz w:val="20"/>
                <w:szCs w:val="20"/>
              </w:rPr>
              <w:t>387.13</w:t>
            </w:r>
          </w:p>
        </w:tc>
        <w:tc>
          <w:tcPr>
            <w:tcW w:w="960" w:type="dxa"/>
            <w:tcBorders>
              <w:top w:val="nil"/>
              <w:left w:val="nil"/>
              <w:bottom w:val="single" w:sz="4" w:space="0" w:color="auto"/>
              <w:right w:val="single" w:sz="4" w:space="0" w:color="auto"/>
            </w:tcBorders>
            <w:shd w:val="clear" w:color="auto" w:fill="auto"/>
            <w:vAlign w:val="center"/>
          </w:tcPr>
          <w:p w:rsidR="00233596" w:rsidRDefault="00787EE4">
            <w:pPr>
              <w:widowControl/>
              <w:jc w:val="center"/>
              <w:rPr>
                <w:rFonts w:ascii="宋体" w:hAnsi="宋体" w:cs="Arial"/>
                <w:color w:val="000000"/>
                <w:kern w:val="0"/>
                <w:sz w:val="20"/>
                <w:szCs w:val="20"/>
              </w:rPr>
            </w:pPr>
            <w:r>
              <w:rPr>
                <w:rFonts w:ascii="宋体" w:hAnsi="宋体" w:cs="Arial" w:hint="eastAsia"/>
                <w:color w:val="000000"/>
                <w:kern w:val="0"/>
                <w:sz w:val="20"/>
                <w:szCs w:val="20"/>
              </w:rPr>
              <w:t>387.13</w:t>
            </w:r>
          </w:p>
        </w:tc>
      </w:tr>
      <w:tr w:rsidR="00233596">
        <w:trPr>
          <w:trHeight w:val="465"/>
        </w:trPr>
        <w:tc>
          <w:tcPr>
            <w:tcW w:w="1030" w:type="dxa"/>
            <w:tcBorders>
              <w:top w:val="nil"/>
              <w:left w:val="single" w:sz="4" w:space="0" w:color="auto"/>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年初预算</w:t>
            </w:r>
          </w:p>
        </w:tc>
        <w:tc>
          <w:tcPr>
            <w:tcW w:w="950" w:type="dxa"/>
            <w:tcBorders>
              <w:top w:val="nil"/>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7037.16</w:t>
            </w:r>
          </w:p>
        </w:tc>
        <w:tc>
          <w:tcPr>
            <w:tcW w:w="1320" w:type="dxa"/>
            <w:tcBorders>
              <w:top w:val="nil"/>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2783.16</w:t>
            </w:r>
          </w:p>
        </w:tc>
        <w:tc>
          <w:tcPr>
            <w:tcW w:w="960" w:type="dxa"/>
            <w:tcBorders>
              <w:top w:val="nil"/>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2424.07</w:t>
            </w:r>
          </w:p>
        </w:tc>
        <w:tc>
          <w:tcPr>
            <w:tcW w:w="960" w:type="dxa"/>
            <w:tcBorders>
              <w:top w:val="nil"/>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359.09</w:t>
            </w:r>
          </w:p>
        </w:tc>
        <w:tc>
          <w:tcPr>
            <w:tcW w:w="1300" w:type="dxa"/>
            <w:tcBorders>
              <w:top w:val="nil"/>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4254</w:t>
            </w:r>
          </w:p>
        </w:tc>
        <w:tc>
          <w:tcPr>
            <w:tcW w:w="960" w:type="dxa"/>
            <w:tcBorders>
              <w:top w:val="nil"/>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4254</w:t>
            </w:r>
          </w:p>
        </w:tc>
      </w:tr>
      <w:tr w:rsidR="00233596">
        <w:trPr>
          <w:trHeight w:val="465"/>
        </w:trPr>
        <w:tc>
          <w:tcPr>
            <w:tcW w:w="1030" w:type="dxa"/>
            <w:tcBorders>
              <w:top w:val="nil"/>
              <w:left w:val="single" w:sz="4" w:space="0" w:color="auto"/>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决算支出</w:t>
            </w:r>
          </w:p>
        </w:tc>
        <w:tc>
          <w:tcPr>
            <w:tcW w:w="950" w:type="dxa"/>
            <w:tcBorders>
              <w:top w:val="nil"/>
              <w:left w:val="nil"/>
              <w:bottom w:val="single" w:sz="4" w:space="0" w:color="auto"/>
              <w:right w:val="single" w:sz="4" w:space="0" w:color="auto"/>
            </w:tcBorders>
            <w:shd w:val="clear" w:color="auto" w:fill="auto"/>
            <w:vAlign w:val="center"/>
          </w:tcPr>
          <w:p w:rsidR="00233596" w:rsidRDefault="004C0FEF">
            <w:pPr>
              <w:widowControl/>
              <w:jc w:val="center"/>
              <w:rPr>
                <w:rFonts w:ascii="宋体" w:hAnsi="宋体" w:cs="Arial"/>
                <w:color w:val="000000"/>
                <w:kern w:val="0"/>
                <w:sz w:val="20"/>
                <w:szCs w:val="20"/>
              </w:rPr>
            </w:pPr>
            <w:r>
              <w:rPr>
                <w:rFonts w:ascii="宋体" w:hAnsi="宋体" w:cs="Arial" w:hint="eastAsia"/>
                <w:color w:val="000000"/>
                <w:kern w:val="0"/>
                <w:sz w:val="20"/>
                <w:szCs w:val="20"/>
              </w:rPr>
              <w:t>6414.89</w:t>
            </w:r>
          </w:p>
        </w:tc>
        <w:tc>
          <w:tcPr>
            <w:tcW w:w="1320" w:type="dxa"/>
            <w:tcBorders>
              <w:top w:val="nil"/>
              <w:left w:val="nil"/>
              <w:bottom w:val="single" w:sz="4" w:space="0" w:color="auto"/>
              <w:right w:val="single" w:sz="4" w:space="0" w:color="auto"/>
            </w:tcBorders>
            <w:shd w:val="clear" w:color="auto" w:fill="auto"/>
            <w:vAlign w:val="center"/>
          </w:tcPr>
          <w:p w:rsidR="00233596" w:rsidRDefault="00AE5536">
            <w:pPr>
              <w:widowControl/>
              <w:jc w:val="center"/>
              <w:rPr>
                <w:rFonts w:ascii="宋体" w:hAnsi="宋体" w:cs="Arial"/>
                <w:color w:val="000000"/>
                <w:kern w:val="0"/>
                <w:sz w:val="20"/>
                <w:szCs w:val="20"/>
              </w:rPr>
            </w:pPr>
            <w:r>
              <w:rPr>
                <w:rFonts w:ascii="宋体" w:hAnsi="宋体" w:cs="Arial" w:hint="eastAsia"/>
                <w:color w:val="000000"/>
                <w:kern w:val="0"/>
                <w:sz w:val="20"/>
                <w:szCs w:val="20"/>
              </w:rPr>
              <w:t>2983.61</w:t>
            </w:r>
          </w:p>
        </w:tc>
        <w:tc>
          <w:tcPr>
            <w:tcW w:w="960" w:type="dxa"/>
            <w:tcBorders>
              <w:top w:val="nil"/>
              <w:left w:val="nil"/>
              <w:bottom w:val="single" w:sz="4" w:space="0" w:color="auto"/>
              <w:right w:val="single" w:sz="4" w:space="0" w:color="auto"/>
            </w:tcBorders>
            <w:shd w:val="clear" w:color="auto" w:fill="auto"/>
            <w:vAlign w:val="center"/>
          </w:tcPr>
          <w:p w:rsidR="00233596" w:rsidRDefault="00815292">
            <w:pPr>
              <w:widowControl/>
              <w:jc w:val="center"/>
              <w:rPr>
                <w:rFonts w:ascii="宋体" w:hAnsi="宋体" w:cs="Arial"/>
                <w:color w:val="000000"/>
                <w:kern w:val="0"/>
                <w:sz w:val="20"/>
                <w:szCs w:val="20"/>
              </w:rPr>
            </w:pPr>
            <w:r>
              <w:rPr>
                <w:rFonts w:ascii="宋体" w:hAnsi="宋体" w:cs="Arial" w:hint="eastAsia"/>
                <w:color w:val="000000"/>
                <w:kern w:val="0"/>
                <w:sz w:val="20"/>
                <w:szCs w:val="20"/>
              </w:rPr>
              <w:t>2726.41</w:t>
            </w:r>
          </w:p>
        </w:tc>
        <w:tc>
          <w:tcPr>
            <w:tcW w:w="960" w:type="dxa"/>
            <w:tcBorders>
              <w:top w:val="nil"/>
              <w:left w:val="nil"/>
              <w:bottom w:val="single" w:sz="4" w:space="0" w:color="auto"/>
              <w:right w:val="single" w:sz="4" w:space="0" w:color="auto"/>
            </w:tcBorders>
            <w:shd w:val="clear" w:color="auto" w:fill="auto"/>
            <w:vAlign w:val="center"/>
          </w:tcPr>
          <w:p w:rsidR="00233596" w:rsidRDefault="004C0FEF">
            <w:pPr>
              <w:widowControl/>
              <w:jc w:val="center"/>
              <w:rPr>
                <w:rFonts w:ascii="宋体" w:hAnsi="宋体" w:cs="Arial"/>
                <w:color w:val="000000"/>
                <w:kern w:val="0"/>
                <w:sz w:val="20"/>
                <w:szCs w:val="20"/>
              </w:rPr>
            </w:pPr>
            <w:r>
              <w:rPr>
                <w:rFonts w:ascii="宋体" w:hAnsi="宋体" w:cs="Arial" w:hint="eastAsia"/>
                <w:color w:val="000000"/>
                <w:kern w:val="0"/>
                <w:sz w:val="20"/>
                <w:szCs w:val="20"/>
              </w:rPr>
              <w:t>257.2</w:t>
            </w:r>
          </w:p>
        </w:tc>
        <w:tc>
          <w:tcPr>
            <w:tcW w:w="1300" w:type="dxa"/>
            <w:tcBorders>
              <w:top w:val="nil"/>
              <w:left w:val="nil"/>
              <w:bottom w:val="single" w:sz="4" w:space="0" w:color="auto"/>
              <w:right w:val="single" w:sz="4" w:space="0" w:color="auto"/>
            </w:tcBorders>
            <w:shd w:val="clear" w:color="auto" w:fill="auto"/>
            <w:vAlign w:val="center"/>
          </w:tcPr>
          <w:p w:rsidR="00233596" w:rsidRDefault="004C0FEF">
            <w:pPr>
              <w:widowControl/>
              <w:jc w:val="center"/>
              <w:rPr>
                <w:rFonts w:ascii="宋体" w:hAnsi="宋体" w:cs="Arial"/>
                <w:color w:val="000000"/>
                <w:kern w:val="0"/>
                <w:sz w:val="20"/>
                <w:szCs w:val="20"/>
              </w:rPr>
            </w:pPr>
            <w:r>
              <w:rPr>
                <w:rFonts w:ascii="宋体" w:hAnsi="宋体" w:cs="Arial" w:hint="eastAsia"/>
                <w:color w:val="000000"/>
                <w:kern w:val="0"/>
                <w:sz w:val="20"/>
                <w:szCs w:val="20"/>
              </w:rPr>
              <w:t>3431.28</w:t>
            </w:r>
          </w:p>
        </w:tc>
        <w:tc>
          <w:tcPr>
            <w:tcW w:w="960" w:type="dxa"/>
            <w:tcBorders>
              <w:top w:val="nil"/>
              <w:left w:val="nil"/>
              <w:bottom w:val="single" w:sz="4" w:space="0" w:color="auto"/>
              <w:right w:val="single" w:sz="4" w:space="0" w:color="auto"/>
            </w:tcBorders>
            <w:shd w:val="clear" w:color="auto" w:fill="auto"/>
            <w:vAlign w:val="center"/>
          </w:tcPr>
          <w:p w:rsidR="00233596" w:rsidRDefault="004C0FEF">
            <w:pPr>
              <w:widowControl/>
              <w:jc w:val="center"/>
              <w:rPr>
                <w:rFonts w:ascii="宋体" w:hAnsi="宋体" w:cs="Arial"/>
                <w:color w:val="000000"/>
                <w:kern w:val="0"/>
                <w:sz w:val="20"/>
                <w:szCs w:val="20"/>
              </w:rPr>
            </w:pPr>
            <w:r>
              <w:rPr>
                <w:rFonts w:ascii="宋体" w:hAnsi="宋体" w:cs="Arial" w:hint="eastAsia"/>
                <w:color w:val="000000"/>
                <w:kern w:val="0"/>
                <w:sz w:val="20"/>
                <w:szCs w:val="20"/>
              </w:rPr>
              <w:t>3431.28</w:t>
            </w:r>
          </w:p>
        </w:tc>
      </w:tr>
    </w:tbl>
    <w:p w:rsidR="00233596" w:rsidRDefault="00233596">
      <w:pPr>
        <w:spacing w:line="576" w:lineRule="exact"/>
        <w:ind w:firstLineChars="200" w:firstLine="640"/>
        <w:rPr>
          <w:rStyle w:val="font31"/>
          <w:rFonts w:hAnsi="仿宋_GB2312"/>
          <w:sz w:val="32"/>
          <w:szCs w:val="32"/>
        </w:rPr>
      </w:pP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2.使用方向和主要内容、涉及范围</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2022年城郊街道办事处预算支出主要包括人员经费支出、公用经费支出和项目支出。</w:t>
      </w:r>
    </w:p>
    <w:p w:rsidR="00233596" w:rsidRDefault="00AE5536">
      <w:pPr>
        <w:spacing w:line="576" w:lineRule="exact"/>
        <w:ind w:firstLineChars="200" w:firstLine="640"/>
        <w:rPr>
          <w:rStyle w:val="font31"/>
          <w:rFonts w:ascii="黑体" w:eastAsia="黑体" w:hAnsi="黑体" w:cs="黑体"/>
          <w:sz w:val="32"/>
          <w:szCs w:val="32"/>
        </w:rPr>
      </w:pPr>
      <w:r>
        <w:rPr>
          <w:rStyle w:val="font31"/>
          <w:rFonts w:ascii="黑体" w:eastAsia="黑体" w:hAnsi="黑体" w:cs="黑体" w:hint="eastAsia"/>
          <w:sz w:val="32"/>
          <w:szCs w:val="32"/>
        </w:rPr>
        <w:t>二、部门整体支出管理及使用情况</w:t>
      </w:r>
    </w:p>
    <w:p w:rsidR="00233596" w:rsidRDefault="00AE5536">
      <w:pPr>
        <w:spacing w:line="576" w:lineRule="exact"/>
        <w:ind w:firstLineChars="200" w:firstLine="643"/>
        <w:rPr>
          <w:rStyle w:val="font31"/>
          <w:rFonts w:ascii="楷体_GB2312" w:eastAsia="楷体_GB2312" w:hAnsi="楷体_GB2312" w:cs="楷体_GB2312"/>
          <w:b/>
          <w:bCs/>
          <w:sz w:val="32"/>
          <w:szCs w:val="32"/>
        </w:rPr>
      </w:pPr>
      <w:r>
        <w:rPr>
          <w:rStyle w:val="font31"/>
          <w:rFonts w:ascii="楷体_GB2312" w:eastAsia="楷体_GB2312" w:hAnsi="楷体_GB2312" w:cs="楷体_GB2312" w:hint="eastAsia"/>
          <w:b/>
          <w:bCs/>
          <w:sz w:val="32"/>
          <w:szCs w:val="32"/>
        </w:rPr>
        <w:t>（一）基本支出</w:t>
      </w:r>
    </w:p>
    <w:p w:rsidR="00233596" w:rsidRDefault="00AE5536">
      <w:pPr>
        <w:spacing w:line="576" w:lineRule="exact"/>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t>1.基本支出管理</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根据《中华人民共和国预算法》《财政部关于财政支绩效评价管理暂行管理办法》《宁乡市乡镇财政资金监管实施办法》等上级相关文件的要求，城郊街道办事处制定了《2022</w:t>
      </w:r>
      <w:bookmarkStart w:id="0" w:name="_GoBack"/>
      <w:bookmarkEnd w:id="0"/>
      <w:r>
        <w:rPr>
          <w:rStyle w:val="font31"/>
          <w:rFonts w:hAnsi="仿宋_GB2312" w:hint="eastAsia"/>
          <w:sz w:val="32"/>
          <w:szCs w:val="32"/>
        </w:rPr>
        <w:t>年度城郊街道机关财务管理制度》，明确了三公经费、固定资产管理、预</w:t>
      </w:r>
      <w:r>
        <w:rPr>
          <w:rStyle w:val="font31"/>
          <w:rFonts w:hAnsi="仿宋_GB2312" w:hint="eastAsia"/>
          <w:sz w:val="32"/>
          <w:szCs w:val="32"/>
        </w:rPr>
        <w:lastRenderedPageBreak/>
        <w:t>算资金绩效管理、财政性专项资金监督管理、财务报账事前审批细则和流程，根据以上要求加强我街道财务监督和财务管理。</w:t>
      </w:r>
    </w:p>
    <w:p w:rsidR="00233596" w:rsidRDefault="00AE5536">
      <w:pPr>
        <w:spacing w:line="576" w:lineRule="exact"/>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t>2.基本支出使用情况</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本年一般公共预算财政拨款收入</w:t>
      </w:r>
      <w:r w:rsidR="00BD05F4">
        <w:rPr>
          <w:rStyle w:val="font31"/>
          <w:rFonts w:hAnsi="仿宋_GB2312" w:hint="eastAsia"/>
          <w:sz w:val="32"/>
          <w:szCs w:val="32"/>
        </w:rPr>
        <w:t>5372.72</w:t>
      </w:r>
      <w:r>
        <w:rPr>
          <w:rStyle w:val="font31"/>
          <w:rFonts w:hAnsi="仿宋_GB2312" w:hint="eastAsia"/>
          <w:sz w:val="32"/>
          <w:szCs w:val="32"/>
        </w:rPr>
        <w:t>万元，支出</w:t>
      </w:r>
      <w:r w:rsidR="00BD05F4">
        <w:rPr>
          <w:rStyle w:val="font31"/>
          <w:rFonts w:hAnsi="仿宋_GB2312" w:hint="eastAsia"/>
          <w:sz w:val="32"/>
          <w:szCs w:val="32"/>
        </w:rPr>
        <w:t>5372.72</w:t>
      </w:r>
      <w:r>
        <w:rPr>
          <w:rStyle w:val="font31"/>
          <w:rFonts w:hAnsi="仿宋_GB2312" w:hint="eastAsia"/>
          <w:sz w:val="32"/>
          <w:szCs w:val="32"/>
        </w:rPr>
        <w:t>万元，其中基本支出</w:t>
      </w:r>
      <w:r w:rsidR="00BD05F4">
        <w:rPr>
          <w:rStyle w:val="font31"/>
          <w:rFonts w:hAnsi="仿宋_GB2312" w:hint="eastAsia"/>
          <w:sz w:val="32"/>
          <w:szCs w:val="32"/>
        </w:rPr>
        <w:t>2933.35</w:t>
      </w:r>
      <w:r>
        <w:rPr>
          <w:rStyle w:val="font31"/>
          <w:rFonts w:hAnsi="仿宋_GB2312" w:hint="eastAsia"/>
          <w:sz w:val="32"/>
          <w:szCs w:val="32"/>
        </w:rPr>
        <w:t>万元，项目支出</w:t>
      </w:r>
      <w:r w:rsidR="00BD05F4">
        <w:rPr>
          <w:rStyle w:val="font31"/>
          <w:rFonts w:hAnsi="仿宋_GB2312" w:hint="eastAsia"/>
          <w:sz w:val="32"/>
          <w:szCs w:val="32"/>
        </w:rPr>
        <w:t>2439.37</w:t>
      </w:r>
      <w:r>
        <w:rPr>
          <w:rStyle w:val="font31"/>
          <w:rFonts w:hAnsi="仿宋_GB2312" w:hint="eastAsia"/>
          <w:sz w:val="32"/>
          <w:szCs w:val="32"/>
        </w:rPr>
        <w:t>万元。基本支出按经济分类其中人员经费</w:t>
      </w:r>
      <w:r w:rsidR="00BD05F4">
        <w:rPr>
          <w:rStyle w:val="font31"/>
          <w:rFonts w:hAnsi="仿宋_GB2312" w:hint="eastAsia"/>
          <w:sz w:val="32"/>
          <w:szCs w:val="32"/>
        </w:rPr>
        <w:t>2684.12</w:t>
      </w:r>
      <w:r>
        <w:rPr>
          <w:rStyle w:val="font31"/>
          <w:rFonts w:hAnsi="仿宋_GB2312" w:hint="eastAsia"/>
          <w:sz w:val="32"/>
          <w:szCs w:val="32"/>
        </w:rPr>
        <w:t>万元，日常公用经费</w:t>
      </w:r>
      <w:r w:rsidR="00BD05F4">
        <w:rPr>
          <w:rStyle w:val="font31"/>
          <w:rFonts w:hAnsi="仿宋_GB2312" w:hint="eastAsia"/>
          <w:sz w:val="32"/>
          <w:szCs w:val="32"/>
        </w:rPr>
        <w:t>249.23</w:t>
      </w:r>
      <w:r>
        <w:rPr>
          <w:rStyle w:val="font31"/>
          <w:rFonts w:hAnsi="仿宋_GB2312" w:hint="eastAsia"/>
          <w:sz w:val="32"/>
          <w:szCs w:val="32"/>
        </w:rPr>
        <w:t>万元。</w:t>
      </w:r>
    </w:p>
    <w:p w:rsidR="00233596" w:rsidRDefault="00AE5536">
      <w:pPr>
        <w:spacing w:line="576" w:lineRule="exact"/>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t>3.“三公”经费情况</w:t>
      </w:r>
    </w:p>
    <w:p w:rsidR="00233596" w:rsidRDefault="00344692" w:rsidP="00344692">
      <w:pPr>
        <w:spacing w:line="576" w:lineRule="exact"/>
        <w:ind w:firstLineChars="200" w:firstLine="640"/>
        <w:jc w:val="left"/>
        <w:rPr>
          <w:rStyle w:val="font31"/>
          <w:rFonts w:hAnsi="仿宋_GB2312"/>
          <w:sz w:val="32"/>
          <w:szCs w:val="32"/>
        </w:rPr>
      </w:pPr>
      <w:r>
        <w:rPr>
          <w:rStyle w:val="font31"/>
          <w:rFonts w:hAnsi="仿宋_GB2312" w:hint="eastAsia"/>
          <w:sz w:val="32"/>
          <w:szCs w:val="32"/>
        </w:rPr>
        <w:t>2022</w:t>
      </w:r>
      <w:r w:rsidR="00AE5536">
        <w:rPr>
          <w:rStyle w:val="font31"/>
          <w:rFonts w:hAnsi="仿宋_GB2312" w:hint="eastAsia"/>
          <w:sz w:val="32"/>
          <w:szCs w:val="32"/>
        </w:rPr>
        <w:t>年“三公”经费预算数为</w:t>
      </w:r>
      <w:r>
        <w:rPr>
          <w:rStyle w:val="font31"/>
          <w:rFonts w:hAnsi="仿宋_GB2312" w:hint="eastAsia"/>
          <w:sz w:val="32"/>
          <w:szCs w:val="32"/>
        </w:rPr>
        <w:t>16</w:t>
      </w:r>
      <w:r w:rsidR="00AE5536">
        <w:rPr>
          <w:rStyle w:val="font31"/>
          <w:rFonts w:hAnsi="仿宋_GB2312" w:hint="eastAsia"/>
          <w:sz w:val="32"/>
          <w:szCs w:val="32"/>
        </w:rPr>
        <w:t>万元，其中，公务接待费</w:t>
      </w:r>
      <w:r>
        <w:rPr>
          <w:rStyle w:val="font31"/>
          <w:rFonts w:hAnsi="仿宋_GB2312" w:hint="eastAsia"/>
          <w:sz w:val="32"/>
          <w:szCs w:val="32"/>
        </w:rPr>
        <w:t>16</w:t>
      </w:r>
      <w:r w:rsidR="00AE5536">
        <w:rPr>
          <w:rStyle w:val="font31"/>
          <w:rFonts w:hAnsi="仿宋_GB2312" w:hint="eastAsia"/>
          <w:sz w:val="32"/>
          <w:szCs w:val="32"/>
        </w:rPr>
        <w:t>万元，公务用车购置及运行费</w:t>
      </w:r>
      <w:r>
        <w:rPr>
          <w:rStyle w:val="font31"/>
          <w:rFonts w:hAnsi="仿宋_GB2312" w:hint="eastAsia"/>
          <w:sz w:val="32"/>
          <w:szCs w:val="32"/>
        </w:rPr>
        <w:t>0</w:t>
      </w:r>
      <w:r w:rsidR="00AE5536">
        <w:rPr>
          <w:rStyle w:val="font31"/>
          <w:rFonts w:hAnsi="仿宋_GB2312" w:hint="eastAsia"/>
          <w:sz w:val="32"/>
          <w:szCs w:val="32"/>
        </w:rPr>
        <w:t>万元，因公出国（境）费0万元。</w:t>
      </w:r>
      <w:r>
        <w:rPr>
          <w:rStyle w:val="font31"/>
          <w:rFonts w:hAnsi="仿宋_GB2312" w:hint="eastAsia"/>
          <w:sz w:val="32"/>
          <w:szCs w:val="32"/>
        </w:rPr>
        <w:t>2022</w:t>
      </w:r>
      <w:r w:rsidR="00AE5536">
        <w:rPr>
          <w:rStyle w:val="font31"/>
          <w:rFonts w:hAnsi="仿宋_GB2312" w:hint="eastAsia"/>
          <w:sz w:val="32"/>
          <w:szCs w:val="32"/>
        </w:rPr>
        <w:t>年“三公”经费决算数为</w:t>
      </w:r>
      <w:r>
        <w:rPr>
          <w:rStyle w:val="font31"/>
          <w:rFonts w:hAnsi="仿宋_GB2312" w:hint="eastAsia"/>
          <w:sz w:val="32"/>
          <w:szCs w:val="32"/>
        </w:rPr>
        <w:t>0</w:t>
      </w:r>
      <w:r w:rsidR="00AE5536">
        <w:rPr>
          <w:rStyle w:val="font31"/>
          <w:rFonts w:hAnsi="仿宋_GB2312" w:hint="eastAsia"/>
          <w:sz w:val="32"/>
          <w:szCs w:val="32"/>
        </w:rPr>
        <w:t>万元，其中，公务接待费</w:t>
      </w:r>
      <w:r>
        <w:rPr>
          <w:rStyle w:val="font31"/>
          <w:rFonts w:hAnsi="仿宋_GB2312" w:hint="eastAsia"/>
          <w:sz w:val="32"/>
          <w:szCs w:val="32"/>
        </w:rPr>
        <w:t>0</w:t>
      </w:r>
      <w:r w:rsidR="00AE5536">
        <w:rPr>
          <w:rStyle w:val="font31"/>
          <w:rFonts w:hAnsi="仿宋_GB2312" w:hint="eastAsia"/>
          <w:sz w:val="32"/>
          <w:szCs w:val="32"/>
        </w:rPr>
        <w:t>万元，公务用车购置及运行费</w:t>
      </w:r>
      <w:r>
        <w:rPr>
          <w:rStyle w:val="font31"/>
          <w:rFonts w:hAnsi="仿宋_GB2312" w:hint="eastAsia"/>
          <w:sz w:val="32"/>
          <w:szCs w:val="32"/>
        </w:rPr>
        <w:t>0</w:t>
      </w:r>
      <w:r w:rsidR="00AE5536">
        <w:rPr>
          <w:rStyle w:val="font31"/>
          <w:rFonts w:hAnsi="仿宋_GB2312" w:hint="eastAsia"/>
          <w:sz w:val="32"/>
          <w:szCs w:val="32"/>
        </w:rPr>
        <w:t>万元（其中，公务用车运行费4万元），因公出国（境）费0万元。主要是压减三公经费。</w:t>
      </w:r>
    </w:p>
    <w:p w:rsidR="00233596" w:rsidRDefault="00AE5536">
      <w:pPr>
        <w:spacing w:line="576" w:lineRule="exact"/>
        <w:ind w:firstLineChars="200" w:firstLine="643"/>
        <w:rPr>
          <w:rStyle w:val="font31"/>
          <w:rFonts w:ascii="楷体_GB2312" w:eastAsia="楷体_GB2312" w:hAnsi="楷体_GB2312" w:cs="楷体_GB2312"/>
          <w:b/>
          <w:bCs/>
          <w:sz w:val="32"/>
          <w:szCs w:val="32"/>
        </w:rPr>
      </w:pPr>
      <w:r>
        <w:rPr>
          <w:rStyle w:val="font31"/>
          <w:rFonts w:ascii="楷体_GB2312" w:eastAsia="楷体_GB2312" w:hAnsi="楷体_GB2312" w:cs="楷体_GB2312" w:hint="eastAsia"/>
          <w:b/>
          <w:bCs/>
          <w:sz w:val="32"/>
          <w:szCs w:val="32"/>
        </w:rPr>
        <w:t>项目支出</w:t>
      </w:r>
    </w:p>
    <w:p w:rsidR="00233596" w:rsidRDefault="00344692">
      <w:pPr>
        <w:spacing w:line="576" w:lineRule="exact"/>
        <w:ind w:firstLineChars="200" w:firstLine="640"/>
        <w:rPr>
          <w:rStyle w:val="font31"/>
          <w:rFonts w:hAnsi="仿宋_GB2312"/>
          <w:sz w:val="32"/>
          <w:szCs w:val="32"/>
        </w:rPr>
      </w:pPr>
      <w:r>
        <w:rPr>
          <w:rStyle w:val="font31"/>
          <w:rFonts w:hAnsi="仿宋_GB2312" w:hint="eastAsia"/>
          <w:sz w:val="32"/>
          <w:szCs w:val="32"/>
        </w:rPr>
        <w:t>2022</w:t>
      </w:r>
      <w:r w:rsidR="00AE5536">
        <w:rPr>
          <w:rStyle w:val="font31"/>
          <w:rFonts w:hAnsi="仿宋_GB2312" w:hint="eastAsia"/>
          <w:sz w:val="32"/>
          <w:szCs w:val="32"/>
        </w:rPr>
        <w:t>年度项目资金共</w:t>
      </w:r>
      <w:r>
        <w:rPr>
          <w:rStyle w:val="font31"/>
          <w:rFonts w:hAnsi="仿宋_GB2312" w:hint="eastAsia"/>
          <w:sz w:val="32"/>
          <w:szCs w:val="32"/>
        </w:rPr>
        <w:t>3431.28</w:t>
      </w:r>
      <w:r w:rsidR="00AE5536">
        <w:rPr>
          <w:rStyle w:val="font31"/>
          <w:rFonts w:hAnsi="仿宋_GB2312" w:hint="eastAsia"/>
          <w:sz w:val="32"/>
          <w:szCs w:val="32"/>
        </w:rPr>
        <w:t>万元，其中财政拨款</w:t>
      </w:r>
      <w:r>
        <w:rPr>
          <w:rStyle w:val="font31"/>
          <w:rFonts w:hAnsi="仿宋_GB2312" w:hint="eastAsia"/>
          <w:sz w:val="32"/>
          <w:szCs w:val="32"/>
        </w:rPr>
        <w:t>2550.18</w:t>
      </w:r>
      <w:r w:rsidR="00AE5536">
        <w:rPr>
          <w:rStyle w:val="font31"/>
          <w:rFonts w:hAnsi="仿宋_GB2312" w:hint="eastAsia"/>
          <w:sz w:val="32"/>
          <w:szCs w:val="32"/>
        </w:rPr>
        <w:t>万元，其他资金</w:t>
      </w:r>
      <w:r w:rsidR="00F72FD2">
        <w:rPr>
          <w:rStyle w:val="font31"/>
          <w:rFonts w:hAnsi="仿宋_GB2312" w:hint="eastAsia"/>
          <w:sz w:val="32"/>
          <w:szCs w:val="32"/>
        </w:rPr>
        <w:t>881.1</w:t>
      </w:r>
      <w:r w:rsidR="00AE5536">
        <w:rPr>
          <w:rStyle w:val="font31"/>
          <w:rFonts w:hAnsi="仿宋_GB2312" w:hint="eastAsia"/>
          <w:sz w:val="32"/>
          <w:szCs w:val="32"/>
        </w:rPr>
        <w:t>万元。</w:t>
      </w:r>
    </w:p>
    <w:tbl>
      <w:tblPr>
        <w:tblW w:w="8772" w:type="dxa"/>
        <w:tblLayout w:type="fixed"/>
        <w:tblLook w:val="04A0"/>
      </w:tblPr>
      <w:tblGrid>
        <w:gridCol w:w="8772"/>
      </w:tblGrid>
      <w:tr w:rsidR="00233596">
        <w:trPr>
          <w:trHeight w:val="624"/>
        </w:trPr>
        <w:tc>
          <w:tcPr>
            <w:tcW w:w="8772" w:type="dxa"/>
            <w:vMerge w:val="restart"/>
            <w:tcBorders>
              <w:top w:val="nil"/>
              <w:left w:val="nil"/>
              <w:bottom w:val="nil"/>
              <w:right w:val="nil"/>
            </w:tcBorders>
            <w:shd w:val="clear" w:color="auto" w:fill="auto"/>
            <w:noWrap/>
            <w:vAlign w:val="center"/>
          </w:tcPr>
          <w:tbl>
            <w:tblPr>
              <w:tblW w:w="8222" w:type="dxa"/>
              <w:tblLayout w:type="fixed"/>
              <w:tblLook w:val="04A0"/>
            </w:tblPr>
            <w:tblGrid>
              <w:gridCol w:w="1340"/>
              <w:gridCol w:w="920"/>
              <w:gridCol w:w="920"/>
              <w:gridCol w:w="920"/>
              <w:gridCol w:w="1003"/>
              <w:gridCol w:w="837"/>
              <w:gridCol w:w="297"/>
              <w:gridCol w:w="623"/>
              <w:gridCol w:w="370"/>
              <w:gridCol w:w="992"/>
            </w:tblGrid>
            <w:tr w:rsidR="002B7242" w:rsidRPr="002B7242" w:rsidTr="001B0651">
              <w:trPr>
                <w:trHeight w:val="555"/>
              </w:trPr>
              <w:tc>
                <w:tcPr>
                  <w:tcW w:w="1340" w:type="dxa"/>
                  <w:tcBorders>
                    <w:top w:val="nil"/>
                    <w:left w:val="nil"/>
                    <w:bottom w:val="nil"/>
                    <w:right w:val="nil"/>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p>
              </w:tc>
              <w:tc>
                <w:tcPr>
                  <w:tcW w:w="920" w:type="dxa"/>
                  <w:tcBorders>
                    <w:top w:val="nil"/>
                    <w:left w:val="nil"/>
                    <w:bottom w:val="nil"/>
                    <w:right w:val="nil"/>
                  </w:tcBorders>
                  <w:shd w:val="clear" w:color="auto" w:fill="auto"/>
                  <w:noWrap/>
                  <w:vAlign w:val="center"/>
                  <w:hideMark/>
                </w:tcPr>
                <w:p w:rsidR="002B7242" w:rsidRPr="002B7242" w:rsidRDefault="002B7242" w:rsidP="002B7242">
                  <w:pPr>
                    <w:widowControl/>
                    <w:jc w:val="left"/>
                    <w:rPr>
                      <w:rFonts w:ascii="宋体" w:hAnsi="宋体" w:cs="Arial"/>
                      <w:kern w:val="0"/>
                      <w:sz w:val="16"/>
                      <w:szCs w:val="16"/>
                    </w:rPr>
                  </w:pPr>
                </w:p>
              </w:tc>
              <w:tc>
                <w:tcPr>
                  <w:tcW w:w="920" w:type="dxa"/>
                  <w:tcBorders>
                    <w:top w:val="nil"/>
                    <w:left w:val="nil"/>
                    <w:bottom w:val="nil"/>
                    <w:right w:val="nil"/>
                  </w:tcBorders>
                  <w:shd w:val="clear" w:color="auto" w:fill="auto"/>
                  <w:noWrap/>
                  <w:vAlign w:val="center"/>
                  <w:hideMark/>
                </w:tcPr>
                <w:p w:rsidR="002B7242" w:rsidRPr="002B7242" w:rsidRDefault="002B7242" w:rsidP="002B7242">
                  <w:pPr>
                    <w:widowControl/>
                    <w:jc w:val="left"/>
                    <w:rPr>
                      <w:rFonts w:ascii="宋体" w:hAnsi="宋体" w:cs="Arial"/>
                      <w:kern w:val="0"/>
                      <w:sz w:val="16"/>
                      <w:szCs w:val="16"/>
                    </w:rPr>
                  </w:pPr>
                </w:p>
              </w:tc>
              <w:tc>
                <w:tcPr>
                  <w:tcW w:w="920" w:type="dxa"/>
                  <w:tcBorders>
                    <w:top w:val="nil"/>
                    <w:left w:val="nil"/>
                    <w:bottom w:val="nil"/>
                    <w:right w:val="nil"/>
                  </w:tcBorders>
                  <w:shd w:val="clear" w:color="auto" w:fill="auto"/>
                  <w:noWrap/>
                  <w:vAlign w:val="center"/>
                  <w:hideMark/>
                </w:tcPr>
                <w:p w:rsidR="002B7242" w:rsidRPr="002B7242" w:rsidRDefault="002B7242" w:rsidP="002B7242">
                  <w:pPr>
                    <w:widowControl/>
                    <w:jc w:val="left"/>
                    <w:rPr>
                      <w:rFonts w:ascii="宋体" w:hAnsi="宋体" w:cs="Arial"/>
                      <w:kern w:val="0"/>
                      <w:sz w:val="16"/>
                      <w:szCs w:val="16"/>
                    </w:rPr>
                  </w:pPr>
                </w:p>
              </w:tc>
              <w:tc>
                <w:tcPr>
                  <w:tcW w:w="1003" w:type="dxa"/>
                  <w:tcBorders>
                    <w:top w:val="nil"/>
                    <w:left w:val="nil"/>
                    <w:bottom w:val="nil"/>
                    <w:right w:val="nil"/>
                  </w:tcBorders>
                  <w:shd w:val="clear" w:color="auto" w:fill="auto"/>
                  <w:noWrap/>
                  <w:vAlign w:val="center"/>
                  <w:hideMark/>
                </w:tcPr>
                <w:p w:rsidR="002B7242" w:rsidRPr="002B7242" w:rsidRDefault="002B7242" w:rsidP="002B7242">
                  <w:pPr>
                    <w:widowControl/>
                    <w:jc w:val="left"/>
                    <w:rPr>
                      <w:rFonts w:ascii="宋体" w:hAnsi="宋体" w:cs="Arial"/>
                      <w:kern w:val="0"/>
                      <w:sz w:val="16"/>
                      <w:szCs w:val="16"/>
                    </w:rPr>
                  </w:pPr>
                </w:p>
              </w:tc>
              <w:tc>
                <w:tcPr>
                  <w:tcW w:w="837" w:type="dxa"/>
                  <w:tcBorders>
                    <w:top w:val="nil"/>
                    <w:left w:val="nil"/>
                    <w:bottom w:val="nil"/>
                    <w:right w:val="nil"/>
                  </w:tcBorders>
                  <w:shd w:val="clear" w:color="auto" w:fill="auto"/>
                  <w:noWrap/>
                  <w:vAlign w:val="center"/>
                  <w:hideMark/>
                </w:tcPr>
                <w:p w:rsidR="002B7242" w:rsidRPr="002B7242" w:rsidRDefault="002B7242" w:rsidP="002B7242">
                  <w:pPr>
                    <w:widowControl/>
                    <w:jc w:val="left"/>
                    <w:rPr>
                      <w:rFonts w:ascii="宋体" w:hAnsi="宋体" w:cs="Arial"/>
                      <w:kern w:val="0"/>
                      <w:sz w:val="16"/>
                      <w:szCs w:val="16"/>
                    </w:rPr>
                  </w:pPr>
                </w:p>
              </w:tc>
              <w:tc>
                <w:tcPr>
                  <w:tcW w:w="920" w:type="dxa"/>
                  <w:gridSpan w:val="2"/>
                  <w:tcBorders>
                    <w:top w:val="nil"/>
                    <w:left w:val="nil"/>
                    <w:bottom w:val="nil"/>
                    <w:right w:val="nil"/>
                  </w:tcBorders>
                  <w:shd w:val="clear" w:color="auto" w:fill="auto"/>
                  <w:noWrap/>
                  <w:vAlign w:val="center"/>
                  <w:hideMark/>
                </w:tcPr>
                <w:p w:rsidR="002B7242" w:rsidRPr="002B7242" w:rsidRDefault="002B7242" w:rsidP="002B7242">
                  <w:pPr>
                    <w:widowControl/>
                    <w:jc w:val="left"/>
                    <w:rPr>
                      <w:rFonts w:ascii="宋体" w:hAnsi="宋体" w:cs="Arial"/>
                      <w:kern w:val="0"/>
                      <w:sz w:val="16"/>
                      <w:szCs w:val="16"/>
                    </w:rPr>
                  </w:pPr>
                </w:p>
              </w:tc>
              <w:tc>
                <w:tcPr>
                  <w:tcW w:w="1362" w:type="dxa"/>
                  <w:gridSpan w:val="2"/>
                  <w:tcBorders>
                    <w:top w:val="nil"/>
                    <w:left w:val="nil"/>
                    <w:bottom w:val="nil"/>
                    <w:right w:val="nil"/>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金额单位：万元</w:t>
                  </w:r>
                </w:p>
              </w:tc>
            </w:tr>
            <w:tr w:rsidR="002B7242" w:rsidRPr="002B7242" w:rsidTr="001B0651">
              <w:trPr>
                <w:trHeight w:val="555"/>
              </w:trPr>
              <w:tc>
                <w:tcPr>
                  <w:tcW w:w="13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center"/>
                    <w:rPr>
                      <w:rFonts w:ascii="宋体" w:hAnsi="宋体" w:cs="Arial"/>
                      <w:kern w:val="0"/>
                      <w:sz w:val="16"/>
                      <w:szCs w:val="16"/>
                    </w:rPr>
                  </w:pPr>
                  <w:r w:rsidRPr="002B7242">
                    <w:rPr>
                      <w:rFonts w:ascii="宋体" w:hAnsi="宋体" w:cs="Arial" w:hint="eastAsia"/>
                      <w:kern w:val="0"/>
                      <w:sz w:val="16"/>
                      <w:szCs w:val="16"/>
                    </w:rPr>
                    <w:t>项目</w:t>
                  </w:r>
                </w:p>
              </w:tc>
              <w:tc>
                <w:tcPr>
                  <w:tcW w:w="3763" w:type="dxa"/>
                  <w:gridSpan w:val="4"/>
                  <w:tcBorders>
                    <w:top w:val="single" w:sz="4" w:space="0" w:color="auto"/>
                    <w:left w:val="nil"/>
                    <w:bottom w:val="single" w:sz="4" w:space="0" w:color="auto"/>
                    <w:right w:val="single" w:sz="4" w:space="0" w:color="auto"/>
                  </w:tcBorders>
                  <w:shd w:val="clear" w:color="auto" w:fill="auto"/>
                  <w:vAlign w:val="center"/>
                  <w:hideMark/>
                </w:tcPr>
                <w:p w:rsidR="002B7242" w:rsidRPr="002B7242" w:rsidRDefault="002B7242" w:rsidP="002B7242">
                  <w:pPr>
                    <w:widowControl/>
                    <w:jc w:val="center"/>
                    <w:rPr>
                      <w:rFonts w:ascii="宋体" w:hAnsi="宋体" w:cs="Arial"/>
                      <w:kern w:val="0"/>
                      <w:sz w:val="16"/>
                      <w:szCs w:val="16"/>
                    </w:rPr>
                  </w:pPr>
                  <w:r w:rsidRPr="002B7242">
                    <w:rPr>
                      <w:rFonts w:ascii="宋体" w:hAnsi="宋体" w:cs="Arial" w:hint="eastAsia"/>
                      <w:kern w:val="0"/>
                      <w:sz w:val="16"/>
                      <w:szCs w:val="16"/>
                    </w:rPr>
                    <w:t>收入数</w:t>
                  </w:r>
                </w:p>
              </w:tc>
              <w:tc>
                <w:tcPr>
                  <w:tcW w:w="3119" w:type="dxa"/>
                  <w:gridSpan w:val="5"/>
                  <w:tcBorders>
                    <w:top w:val="single" w:sz="4" w:space="0" w:color="auto"/>
                    <w:left w:val="nil"/>
                    <w:bottom w:val="single" w:sz="4" w:space="0" w:color="auto"/>
                    <w:right w:val="single" w:sz="4" w:space="0" w:color="auto"/>
                  </w:tcBorders>
                  <w:shd w:val="clear" w:color="auto" w:fill="auto"/>
                  <w:vAlign w:val="center"/>
                  <w:hideMark/>
                </w:tcPr>
                <w:p w:rsidR="002B7242" w:rsidRPr="002B7242" w:rsidRDefault="002B7242" w:rsidP="002B7242">
                  <w:pPr>
                    <w:widowControl/>
                    <w:jc w:val="center"/>
                    <w:rPr>
                      <w:rFonts w:ascii="宋体" w:hAnsi="宋体" w:cs="Arial"/>
                      <w:kern w:val="0"/>
                      <w:sz w:val="16"/>
                      <w:szCs w:val="16"/>
                    </w:rPr>
                  </w:pPr>
                  <w:r w:rsidRPr="002B7242">
                    <w:rPr>
                      <w:rFonts w:ascii="宋体" w:hAnsi="宋体" w:cs="Arial" w:hint="eastAsia"/>
                      <w:kern w:val="0"/>
                      <w:sz w:val="16"/>
                      <w:szCs w:val="16"/>
                    </w:rPr>
                    <w:t>支出数</w:t>
                  </w:r>
                </w:p>
              </w:tc>
            </w:tr>
            <w:tr w:rsidR="002B7242" w:rsidRPr="002B7242" w:rsidTr="001B0651">
              <w:trPr>
                <w:trHeight w:val="390"/>
              </w:trPr>
              <w:tc>
                <w:tcPr>
                  <w:tcW w:w="1340" w:type="dxa"/>
                  <w:vMerge/>
                  <w:tcBorders>
                    <w:top w:val="single" w:sz="4" w:space="0" w:color="auto"/>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center"/>
                    <w:rPr>
                      <w:rFonts w:ascii="宋体" w:hAnsi="宋体" w:cs="Arial"/>
                      <w:kern w:val="0"/>
                      <w:sz w:val="16"/>
                      <w:szCs w:val="16"/>
                    </w:rPr>
                  </w:pPr>
                  <w:r w:rsidRPr="002B7242">
                    <w:rPr>
                      <w:rFonts w:ascii="宋体" w:hAnsi="宋体" w:cs="Arial" w:hint="eastAsia"/>
                      <w:kern w:val="0"/>
                      <w:sz w:val="16"/>
                      <w:szCs w:val="16"/>
                    </w:rPr>
                    <w:t>合计</w:t>
                  </w:r>
                </w:p>
              </w:tc>
              <w:tc>
                <w:tcPr>
                  <w:tcW w:w="1840" w:type="dxa"/>
                  <w:gridSpan w:val="2"/>
                  <w:tcBorders>
                    <w:top w:val="single" w:sz="4" w:space="0" w:color="auto"/>
                    <w:left w:val="nil"/>
                    <w:bottom w:val="single" w:sz="4" w:space="0" w:color="auto"/>
                    <w:right w:val="single" w:sz="4" w:space="0" w:color="auto"/>
                  </w:tcBorders>
                  <w:shd w:val="clear" w:color="auto" w:fill="auto"/>
                  <w:vAlign w:val="center"/>
                  <w:hideMark/>
                </w:tcPr>
                <w:p w:rsidR="002B7242" w:rsidRPr="002B7242" w:rsidRDefault="002B7242" w:rsidP="002B7242">
                  <w:pPr>
                    <w:widowControl/>
                    <w:jc w:val="center"/>
                    <w:rPr>
                      <w:rFonts w:ascii="宋体" w:hAnsi="宋体" w:cs="Arial"/>
                      <w:kern w:val="0"/>
                      <w:sz w:val="16"/>
                      <w:szCs w:val="16"/>
                    </w:rPr>
                  </w:pPr>
                  <w:r w:rsidRPr="002B7242">
                    <w:rPr>
                      <w:rFonts w:ascii="宋体" w:hAnsi="宋体" w:cs="Arial" w:hint="eastAsia"/>
                      <w:kern w:val="0"/>
                      <w:sz w:val="16"/>
                      <w:szCs w:val="16"/>
                    </w:rPr>
                    <w:t>财政拨款</w:t>
                  </w:r>
                </w:p>
              </w:tc>
              <w:tc>
                <w:tcPr>
                  <w:tcW w:w="1003" w:type="dxa"/>
                  <w:vMerge w:val="restart"/>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center"/>
                    <w:rPr>
                      <w:rFonts w:ascii="宋体" w:hAnsi="宋体" w:cs="Arial"/>
                      <w:kern w:val="0"/>
                      <w:sz w:val="16"/>
                      <w:szCs w:val="16"/>
                    </w:rPr>
                  </w:pPr>
                  <w:r w:rsidRPr="002B7242">
                    <w:rPr>
                      <w:rFonts w:ascii="宋体" w:hAnsi="宋体" w:cs="Arial" w:hint="eastAsia"/>
                      <w:kern w:val="0"/>
                      <w:sz w:val="16"/>
                      <w:szCs w:val="16"/>
                    </w:rPr>
                    <w:t>其他资金</w:t>
                  </w:r>
                </w:p>
              </w:tc>
              <w:tc>
                <w:tcPr>
                  <w:tcW w:w="113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center"/>
                    <w:rPr>
                      <w:rFonts w:ascii="宋体" w:hAnsi="宋体" w:cs="Arial"/>
                      <w:kern w:val="0"/>
                      <w:sz w:val="16"/>
                      <w:szCs w:val="16"/>
                    </w:rPr>
                  </w:pPr>
                  <w:r w:rsidRPr="002B7242">
                    <w:rPr>
                      <w:rFonts w:ascii="宋体" w:hAnsi="宋体" w:cs="Arial" w:hint="eastAsia"/>
                      <w:kern w:val="0"/>
                      <w:sz w:val="16"/>
                      <w:szCs w:val="16"/>
                    </w:rPr>
                    <w:t>合计</w:t>
                  </w:r>
                </w:p>
              </w:tc>
              <w:tc>
                <w:tcPr>
                  <w:tcW w:w="99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center"/>
                    <w:rPr>
                      <w:rFonts w:ascii="宋体" w:hAnsi="宋体" w:cs="Arial"/>
                      <w:kern w:val="0"/>
                      <w:sz w:val="16"/>
                      <w:szCs w:val="16"/>
                    </w:rPr>
                  </w:pPr>
                  <w:r w:rsidRPr="002B7242">
                    <w:rPr>
                      <w:rFonts w:ascii="宋体" w:hAnsi="宋体" w:cs="Arial" w:hint="eastAsia"/>
                      <w:kern w:val="0"/>
                      <w:sz w:val="16"/>
                      <w:szCs w:val="16"/>
                    </w:rPr>
                    <w:t>财政拨款</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center"/>
                    <w:rPr>
                      <w:rFonts w:ascii="宋体" w:hAnsi="宋体" w:cs="Arial"/>
                      <w:kern w:val="0"/>
                      <w:sz w:val="16"/>
                      <w:szCs w:val="16"/>
                    </w:rPr>
                  </w:pPr>
                  <w:r w:rsidRPr="002B7242">
                    <w:rPr>
                      <w:rFonts w:ascii="宋体" w:hAnsi="宋体" w:cs="Arial" w:hint="eastAsia"/>
                      <w:kern w:val="0"/>
                      <w:sz w:val="16"/>
                      <w:szCs w:val="16"/>
                    </w:rPr>
                    <w:t>其他资金</w:t>
                  </w:r>
                </w:p>
              </w:tc>
            </w:tr>
            <w:tr w:rsidR="002B7242" w:rsidRPr="002B7242" w:rsidTr="001B0651">
              <w:trPr>
                <w:trHeight w:val="390"/>
              </w:trPr>
              <w:tc>
                <w:tcPr>
                  <w:tcW w:w="1340" w:type="dxa"/>
                  <w:vMerge/>
                  <w:tcBorders>
                    <w:top w:val="single" w:sz="4" w:space="0" w:color="auto"/>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920" w:type="dxa"/>
                  <w:vMerge/>
                  <w:tcBorders>
                    <w:top w:val="nil"/>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center"/>
                    <w:rPr>
                      <w:rFonts w:ascii="宋体" w:hAnsi="宋体" w:cs="Arial"/>
                      <w:kern w:val="0"/>
                      <w:sz w:val="16"/>
                      <w:szCs w:val="16"/>
                    </w:rPr>
                  </w:pPr>
                  <w:r w:rsidRPr="002B7242">
                    <w:rPr>
                      <w:rFonts w:ascii="宋体" w:hAnsi="宋体" w:cs="Arial" w:hint="eastAsia"/>
                      <w:kern w:val="0"/>
                      <w:sz w:val="16"/>
                      <w:szCs w:val="16"/>
                    </w:rPr>
                    <w:t>小计</w:t>
                  </w:r>
                </w:p>
              </w:tc>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center"/>
                    <w:rPr>
                      <w:rFonts w:ascii="宋体" w:hAnsi="宋体" w:cs="Arial"/>
                      <w:kern w:val="0"/>
                      <w:sz w:val="16"/>
                      <w:szCs w:val="16"/>
                    </w:rPr>
                  </w:pPr>
                  <w:r w:rsidRPr="002B7242">
                    <w:rPr>
                      <w:rFonts w:ascii="宋体" w:hAnsi="宋体" w:cs="Arial" w:hint="eastAsia"/>
                      <w:kern w:val="0"/>
                      <w:sz w:val="16"/>
                      <w:szCs w:val="16"/>
                    </w:rPr>
                    <w:t>其中：基本建设支出拨款</w:t>
                  </w:r>
                </w:p>
              </w:tc>
              <w:tc>
                <w:tcPr>
                  <w:tcW w:w="1003" w:type="dxa"/>
                  <w:vMerge/>
                  <w:tcBorders>
                    <w:top w:val="nil"/>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1134" w:type="dxa"/>
                  <w:gridSpan w:val="2"/>
                  <w:vMerge/>
                  <w:tcBorders>
                    <w:top w:val="nil"/>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993" w:type="dxa"/>
                  <w:gridSpan w:val="2"/>
                  <w:vMerge/>
                  <w:tcBorders>
                    <w:top w:val="nil"/>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992" w:type="dxa"/>
                  <w:vMerge/>
                  <w:tcBorders>
                    <w:top w:val="nil"/>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r>
            <w:tr w:rsidR="002B7242" w:rsidRPr="002B7242" w:rsidTr="001B0651">
              <w:trPr>
                <w:trHeight w:val="390"/>
              </w:trPr>
              <w:tc>
                <w:tcPr>
                  <w:tcW w:w="1340" w:type="dxa"/>
                  <w:vMerge/>
                  <w:tcBorders>
                    <w:top w:val="single" w:sz="4" w:space="0" w:color="auto"/>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920" w:type="dxa"/>
                  <w:vMerge/>
                  <w:tcBorders>
                    <w:top w:val="nil"/>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920" w:type="dxa"/>
                  <w:vMerge/>
                  <w:tcBorders>
                    <w:top w:val="nil"/>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920" w:type="dxa"/>
                  <w:vMerge/>
                  <w:tcBorders>
                    <w:top w:val="nil"/>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1003" w:type="dxa"/>
                  <w:vMerge/>
                  <w:tcBorders>
                    <w:top w:val="nil"/>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1134" w:type="dxa"/>
                  <w:gridSpan w:val="2"/>
                  <w:vMerge/>
                  <w:tcBorders>
                    <w:top w:val="nil"/>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993" w:type="dxa"/>
                  <w:gridSpan w:val="2"/>
                  <w:vMerge/>
                  <w:tcBorders>
                    <w:top w:val="nil"/>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c>
                <w:tcPr>
                  <w:tcW w:w="992" w:type="dxa"/>
                  <w:vMerge/>
                  <w:tcBorders>
                    <w:top w:val="nil"/>
                    <w:left w:val="single" w:sz="4" w:space="0" w:color="auto"/>
                    <w:bottom w:val="single" w:sz="4" w:space="0" w:color="auto"/>
                    <w:right w:val="single" w:sz="4" w:space="0" w:color="auto"/>
                  </w:tcBorders>
                  <w:vAlign w:val="center"/>
                  <w:hideMark/>
                </w:tcPr>
                <w:p w:rsidR="002B7242" w:rsidRPr="002B7242" w:rsidRDefault="002B7242" w:rsidP="002B7242">
                  <w:pPr>
                    <w:widowControl/>
                    <w:jc w:val="left"/>
                    <w:rPr>
                      <w:rFonts w:ascii="宋体" w:hAnsi="宋体" w:cs="Arial"/>
                      <w:kern w:val="0"/>
                      <w:sz w:val="16"/>
                      <w:szCs w:val="16"/>
                    </w:rPr>
                  </w:pP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合计</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3,431.28</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2,550.18</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525.89</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881.10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3,431.28</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2,550.18</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881.10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lastRenderedPageBreak/>
                    <w:t xml:space="preserve">  2022人大管理事务专项资金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人大会议资金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2.13</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2.13</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2.13</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2.13</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人大代表工作提升资金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3.60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3.60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3.60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3.60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2022人大代表工作经费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2022非税汇缴户拨入资金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1,115.61</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422.68</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692.93</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1,115.61</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422.68</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692.93</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乡镇财政管理工作经费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26.00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23.00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26.00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23.00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2022其他财政事务支出资金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2022纪检管理事务资金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2022政法工作经费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4.50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4.50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4.50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4.50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2022困难党组织党员教育经费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10.16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8.46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1.70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10.16</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8.46</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1.70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2022年党委工作经费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6.07</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6.07</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6.07</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6.07</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2022食品安全监管资金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1.15</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1.15</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1.15</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1.15</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市场主体发展工作经费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2022社区戒毒师范点经费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2.16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2.16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2.16</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2.16</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非税汇缴专户拔入资金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245.32</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242.40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2.92</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245.32</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242.40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2.92</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普法工作建设经费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1.68</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1.68</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1.68</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1.68</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2022年普法宣传工作费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2022教育专项经费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161.85</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161.85</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161.85</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161.85</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2022其他教育建设资金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10.35</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10.35</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10.35</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10.35</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lastRenderedPageBreak/>
                    <w:t xml:space="preserve">  文化综合专项资金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8.20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8.20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8.20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8.20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历史名城与古迹建设专项资金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文化旅游支出</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绩效管理</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1.45</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1.45</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1.45</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1.45</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基层政权建设和社区治理资金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民政管理事务资金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31.70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31.70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31.70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31.70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其他行政事业单位养老事项资金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0.52</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0.52</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0.52</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0.52</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志愿兵岗位援助工资</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死亡抚恤、遗属补助</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8.09</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8.09</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8.09</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8.09</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3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优抚支出</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1.15</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0.76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0.39</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1.15</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0.76</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0.39</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退伍安置费用</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29.94</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29.94</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29.94</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29.94</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老年福利补助资金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13.38</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13.38</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13.38</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13.38</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春节慰问资金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13.92</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13.92</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13.92</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13.92</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残疾人事业支出</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3.40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0.40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3.40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0.40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临时救助</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13.53</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13.53</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13.53</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13.53</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特困人员救助供养</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3.66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3.66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3.66</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3.66</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“八一”慰问经费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3.08</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3.08</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3.08</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3.08</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卫生健康管理事务支出资金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8.72</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8.72</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8.72</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8.72</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卫生院建设资金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150.00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基本公共卫生服务中央和省级财政补助资金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8.85</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8.85</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8.85</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8.85</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lastRenderedPageBreak/>
                    <w:t xml:space="preserve">  非税汇缴专户拨入资金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51.00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31.00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51.00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31.00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非税汇缴专户拨入资金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0.36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0.36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0.36</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0.36</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非税汇缴专户拨入资金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12.91</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12.91</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12.91</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12.91</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计划生育支出</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1.60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基层困难财政干部救助经费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0.04</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0.04</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0.04</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0.04</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非税汇缴专户拨入资金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132.38</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2.38</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132.38</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2.38</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社区管理事务</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135.00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135.00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135.00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135.00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土地开发支出资金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61.00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61.00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61.00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61.00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城市基础设施配套费</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39.81</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39.81</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39.81</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39.81</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农业生产救灾资金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1.20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1.20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1.20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1.20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基础设施建设资金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46.00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46.00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46.00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46.00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农业资源保护修复与利用资金资金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2.04</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2.04</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2.04</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2.04</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农村道路建设资金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6.60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6.60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6.60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6.60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其他农业农村支出</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34.50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24.50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34.50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24.50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防汛资金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水利建设资金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扶贫发展资金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40.00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对村级公益事业建设的补助资金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10.50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10.50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10.50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10.50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对村民委员会和村党支部的补助资金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319.96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319.96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319.96</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319.96</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lastRenderedPageBreak/>
                    <w:t xml:space="preserve">  公路建设资金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5.00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公路养护资金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43.40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41.67</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1.73</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43.40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41.67</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1.73</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铁路运输支出</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28.00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28.00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28.00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28.00</w:t>
                  </w:r>
                </w:p>
              </w:tc>
            </w:tr>
            <w:tr w:rsidR="002B7242" w:rsidRPr="002B7242" w:rsidTr="001B0651">
              <w:trPr>
                <w:trHeight w:val="76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车辆购置税用于公路等基础设施建设支出资金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37.78</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37.78</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37.78</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37.78</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车辆购置税支出资金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15.46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15.46</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15.46</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15.46</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老旧小区改造资金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375.89</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375.89</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375.89</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375.89</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375.89</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应急管理支出资金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12.69</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2.69</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12.69</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2.69</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自然灾害防治支出资金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20.00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 xml:space="preserve">  社会福利的彩票公益金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r>
            <w:tr w:rsidR="002B7242" w:rsidRPr="002B7242" w:rsidTr="001B0651">
              <w:trPr>
                <w:trHeight w:val="555"/>
              </w:trPr>
              <w:tc>
                <w:tcPr>
                  <w:tcW w:w="1340" w:type="dxa"/>
                  <w:tcBorders>
                    <w:top w:val="nil"/>
                    <w:left w:val="single" w:sz="4" w:space="0" w:color="auto"/>
                    <w:bottom w:val="single" w:sz="4" w:space="0" w:color="auto"/>
                    <w:right w:val="single" w:sz="4" w:space="0" w:color="auto"/>
                  </w:tcBorders>
                  <w:shd w:val="clear" w:color="auto" w:fill="auto"/>
                  <w:vAlign w:val="center"/>
                  <w:hideMark/>
                </w:tcPr>
                <w:p w:rsidR="002B7242" w:rsidRPr="002B7242" w:rsidRDefault="002B7242" w:rsidP="002B7242">
                  <w:pPr>
                    <w:widowControl/>
                    <w:jc w:val="left"/>
                    <w:rPr>
                      <w:rFonts w:ascii="宋体" w:hAnsi="宋体" w:cs="Arial"/>
                      <w:kern w:val="0"/>
                      <w:sz w:val="16"/>
                      <w:szCs w:val="16"/>
                    </w:rPr>
                  </w:pPr>
                  <w:r w:rsidRPr="002B7242">
                    <w:rPr>
                      <w:rFonts w:ascii="宋体" w:hAnsi="宋体" w:cs="Arial" w:hint="eastAsia"/>
                      <w:kern w:val="0"/>
                      <w:sz w:val="16"/>
                      <w:szCs w:val="16"/>
                    </w:rPr>
                    <w:t>体育事业的彩票公益金支出资金</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20"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1003"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15.00</w:t>
                  </w:r>
                </w:p>
              </w:tc>
              <w:tc>
                <w:tcPr>
                  <w:tcW w:w="993" w:type="dxa"/>
                  <w:gridSpan w:val="2"/>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2B7242" w:rsidRPr="002B7242" w:rsidRDefault="002B7242" w:rsidP="002B7242">
                  <w:pPr>
                    <w:widowControl/>
                    <w:jc w:val="right"/>
                    <w:rPr>
                      <w:rFonts w:ascii="宋体" w:hAnsi="宋体" w:cs="Arial"/>
                      <w:kern w:val="0"/>
                      <w:sz w:val="16"/>
                      <w:szCs w:val="16"/>
                    </w:rPr>
                  </w:pPr>
                  <w:r w:rsidRPr="002B7242">
                    <w:rPr>
                      <w:rFonts w:ascii="宋体" w:hAnsi="宋体" w:cs="Arial" w:hint="eastAsia"/>
                      <w:kern w:val="0"/>
                      <w:sz w:val="16"/>
                      <w:szCs w:val="16"/>
                    </w:rPr>
                    <w:t>15.00</w:t>
                  </w:r>
                </w:p>
              </w:tc>
            </w:tr>
          </w:tbl>
          <w:p w:rsidR="00233596" w:rsidRDefault="00233596">
            <w:pPr>
              <w:widowControl/>
              <w:rPr>
                <w:rFonts w:ascii="宋体" w:hAnsi="宋体" w:cs="Arial"/>
                <w:color w:val="000000"/>
                <w:kern w:val="0"/>
                <w:sz w:val="24"/>
              </w:rPr>
            </w:pPr>
          </w:p>
        </w:tc>
      </w:tr>
      <w:tr w:rsidR="00233596">
        <w:trPr>
          <w:trHeight w:val="312"/>
        </w:trPr>
        <w:tc>
          <w:tcPr>
            <w:tcW w:w="8772" w:type="dxa"/>
            <w:vMerge/>
            <w:tcBorders>
              <w:top w:val="nil"/>
              <w:left w:val="nil"/>
              <w:bottom w:val="nil"/>
              <w:right w:val="nil"/>
            </w:tcBorders>
            <w:vAlign w:val="center"/>
          </w:tcPr>
          <w:p w:rsidR="00233596" w:rsidRDefault="00233596">
            <w:pPr>
              <w:widowControl/>
              <w:jc w:val="left"/>
              <w:rPr>
                <w:rFonts w:ascii="宋体" w:hAnsi="宋体" w:cs="Arial"/>
                <w:color w:val="000000"/>
                <w:kern w:val="0"/>
                <w:sz w:val="24"/>
              </w:rPr>
            </w:pPr>
          </w:p>
        </w:tc>
      </w:tr>
    </w:tbl>
    <w:p w:rsidR="00233596" w:rsidRDefault="00AE5536">
      <w:pPr>
        <w:spacing w:line="576" w:lineRule="exact"/>
        <w:ind w:firstLineChars="200" w:firstLine="640"/>
        <w:rPr>
          <w:rStyle w:val="font31"/>
          <w:rFonts w:hAnsi="仿宋_GB2312" w:hint="eastAsia"/>
          <w:sz w:val="32"/>
          <w:szCs w:val="32"/>
        </w:rPr>
      </w:pPr>
      <w:r>
        <w:rPr>
          <w:rStyle w:val="font31"/>
          <w:rFonts w:hAnsi="仿宋_GB2312" w:hint="eastAsia"/>
          <w:sz w:val="32"/>
          <w:szCs w:val="32"/>
        </w:rPr>
        <w:lastRenderedPageBreak/>
        <w:t>2.项目资金全部按要求及项目建设进度落实到位。项目全程监管，按上级及项目要求推进项目实施。其中部分重点支出项目支出完成情况列示如下表：</w:t>
      </w:r>
    </w:p>
    <w:p w:rsidR="001D162F" w:rsidRDefault="001D162F" w:rsidP="001D162F">
      <w:pPr>
        <w:spacing w:line="576" w:lineRule="exact"/>
        <w:ind w:firstLineChars="200" w:firstLine="400"/>
        <w:jc w:val="center"/>
        <w:rPr>
          <w:rStyle w:val="font31"/>
          <w:rFonts w:hAnsi="仿宋_GB2312" w:hint="eastAsia"/>
          <w:sz w:val="32"/>
          <w:szCs w:val="32"/>
        </w:rPr>
      </w:pPr>
      <w:r>
        <w:rPr>
          <w:rFonts w:ascii="宋体" w:hAnsi="宋体" w:cs="Arial" w:hint="eastAsia"/>
          <w:kern w:val="0"/>
          <w:sz w:val="20"/>
          <w:szCs w:val="20"/>
        </w:rPr>
        <w:t xml:space="preserve">                                                              </w:t>
      </w:r>
      <w:r w:rsidRPr="001D162F">
        <w:rPr>
          <w:rFonts w:ascii="宋体" w:hAnsi="宋体" w:cs="Arial" w:hint="eastAsia"/>
          <w:kern w:val="0"/>
          <w:sz w:val="20"/>
          <w:szCs w:val="20"/>
        </w:rPr>
        <w:t>金额单位：万元</w:t>
      </w:r>
    </w:p>
    <w:tbl>
      <w:tblPr>
        <w:tblW w:w="8613" w:type="dxa"/>
        <w:tblLayout w:type="fixed"/>
        <w:tblLook w:val="04A0"/>
      </w:tblPr>
      <w:tblGrid>
        <w:gridCol w:w="456"/>
        <w:gridCol w:w="2232"/>
        <w:gridCol w:w="1209"/>
        <w:gridCol w:w="2732"/>
        <w:gridCol w:w="1417"/>
        <w:gridCol w:w="567"/>
      </w:tblGrid>
      <w:tr w:rsidR="001D162F" w:rsidRPr="001D162F" w:rsidTr="009B2930">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序号</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项目名称</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投入资金</w:t>
            </w:r>
          </w:p>
        </w:tc>
        <w:tc>
          <w:tcPr>
            <w:tcW w:w="27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项目资金使用情况</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竣工验收情况</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备注</w:t>
            </w:r>
          </w:p>
        </w:tc>
      </w:tr>
      <w:tr w:rsidR="001D162F" w:rsidRPr="001D162F" w:rsidTr="009B2930">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1</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政府一般行政管理事务</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1,115.61</w:t>
            </w:r>
          </w:p>
        </w:tc>
        <w:tc>
          <w:tcPr>
            <w:tcW w:w="27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完成党建、文明创建等工作。</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已完成</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 xml:space="preserve">　</w:t>
            </w:r>
          </w:p>
        </w:tc>
      </w:tr>
      <w:tr w:rsidR="001D162F" w:rsidRPr="001D162F" w:rsidTr="009B2930">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color w:val="000000"/>
                <w:kern w:val="0"/>
                <w:sz w:val="20"/>
                <w:szCs w:val="20"/>
              </w:rPr>
              <w:t>2</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其他公安支出</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257.16</w:t>
            </w:r>
          </w:p>
        </w:tc>
        <w:tc>
          <w:tcPr>
            <w:tcW w:w="27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全街道的治安巡逻劳务支出</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已完成</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 xml:space="preserve">　</w:t>
            </w:r>
          </w:p>
        </w:tc>
      </w:tr>
      <w:tr w:rsidR="001D162F" w:rsidRPr="001D162F" w:rsidTr="009B2930">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3</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其他普通教育支出</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172.2</w:t>
            </w:r>
          </w:p>
        </w:tc>
        <w:tc>
          <w:tcPr>
            <w:tcW w:w="27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城郊中小维修维护</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已完成</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 xml:space="preserve">　</w:t>
            </w:r>
          </w:p>
        </w:tc>
      </w:tr>
      <w:tr w:rsidR="001D162F" w:rsidRPr="001D162F" w:rsidTr="009B2930">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color w:val="000000"/>
                <w:kern w:val="0"/>
                <w:sz w:val="20"/>
                <w:szCs w:val="20"/>
              </w:rPr>
              <w:t>4</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乡镇卫生院</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150</w:t>
            </w:r>
          </w:p>
        </w:tc>
        <w:tc>
          <w:tcPr>
            <w:tcW w:w="27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卫生院建设</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已完成</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 xml:space="preserve">　</w:t>
            </w:r>
          </w:p>
        </w:tc>
      </w:tr>
      <w:tr w:rsidR="001D162F" w:rsidRPr="001D162F" w:rsidTr="009B2930">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5</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突发公共卫生事件应急处理</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51</w:t>
            </w:r>
          </w:p>
        </w:tc>
        <w:tc>
          <w:tcPr>
            <w:tcW w:w="27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用于新冠肺炎防控支出</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已完成</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 xml:space="preserve">　</w:t>
            </w:r>
          </w:p>
        </w:tc>
      </w:tr>
      <w:tr w:rsidR="001D162F" w:rsidRPr="001D162F" w:rsidTr="009B2930">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color w:val="000000"/>
                <w:kern w:val="0"/>
                <w:sz w:val="20"/>
                <w:szCs w:val="20"/>
              </w:rPr>
              <w:t>6</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农村环境保护</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132.38</w:t>
            </w:r>
          </w:p>
        </w:tc>
        <w:tc>
          <w:tcPr>
            <w:tcW w:w="27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环卫整治垃圾清运设施维修</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已完成</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 xml:space="preserve">　</w:t>
            </w:r>
          </w:p>
        </w:tc>
      </w:tr>
      <w:tr w:rsidR="001D162F" w:rsidRPr="001D162F" w:rsidTr="009B2930">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lastRenderedPageBreak/>
              <w:t>7</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城管执法</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135</w:t>
            </w:r>
          </w:p>
        </w:tc>
        <w:tc>
          <w:tcPr>
            <w:tcW w:w="27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城建城管</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已完成</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 xml:space="preserve">　</w:t>
            </w:r>
          </w:p>
        </w:tc>
      </w:tr>
      <w:tr w:rsidR="001D162F" w:rsidRPr="001D162F" w:rsidTr="009B2930">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color w:val="000000"/>
                <w:kern w:val="0"/>
                <w:sz w:val="20"/>
                <w:szCs w:val="20"/>
              </w:rPr>
              <w:t>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农村社会事业</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46</w:t>
            </w:r>
          </w:p>
        </w:tc>
        <w:tc>
          <w:tcPr>
            <w:tcW w:w="27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农村基础设施建设等</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已完成</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 xml:space="preserve">　</w:t>
            </w:r>
          </w:p>
        </w:tc>
      </w:tr>
      <w:tr w:rsidR="001D162F" w:rsidRPr="001D162F" w:rsidTr="009B2930">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对村民委员会和村党支部的补助</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319.96</w:t>
            </w:r>
          </w:p>
        </w:tc>
        <w:tc>
          <w:tcPr>
            <w:tcW w:w="27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村级组织的正常运转</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已完成</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 xml:space="preserve">　</w:t>
            </w:r>
          </w:p>
        </w:tc>
      </w:tr>
      <w:tr w:rsidR="001D162F" w:rsidRPr="001D162F" w:rsidTr="009B2930">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color w:val="000000"/>
                <w:kern w:val="0"/>
                <w:sz w:val="20"/>
                <w:szCs w:val="20"/>
              </w:rPr>
              <w:t>10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老旧小区改造</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375.89</w:t>
            </w:r>
          </w:p>
        </w:tc>
        <w:tc>
          <w:tcPr>
            <w:tcW w:w="27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老旧小区的改造</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已完成</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162F" w:rsidRPr="001D162F" w:rsidRDefault="001D162F" w:rsidP="001D162F">
            <w:pPr>
              <w:widowControl/>
              <w:jc w:val="left"/>
              <w:rPr>
                <w:rFonts w:ascii="宋体" w:hAnsi="宋体" w:cs="Arial"/>
                <w:color w:val="000000"/>
                <w:kern w:val="0"/>
                <w:sz w:val="20"/>
                <w:szCs w:val="20"/>
              </w:rPr>
            </w:pPr>
            <w:r w:rsidRPr="001D162F">
              <w:rPr>
                <w:rFonts w:ascii="宋体" w:hAnsi="宋体" w:cs="Arial" w:hint="eastAsia"/>
                <w:color w:val="000000"/>
                <w:kern w:val="0"/>
                <w:sz w:val="20"/>
                <w:szCs w:val="20"/>
              </w:rPr>
              <w:t xml:space="preserve">　</w:t>
            </w:r>
          </w:p>
        </w:tc>
      </w:tr>
    </w:tbl>
    <w:p w:rsidR="00233596" w:rsidRDefault="00AE5536">
      <w:pPr>
        <w:spacing w:line="576" w:lineRule="exact"/>
        <w:ind w:firstLineChars="200" w:firstLine="640"/>
        <w:rPr>
          <w:rStyle w:val="font31"/>
          <w:rFonts w:ascii="黑体" w:eastAsia="黑体" w:hAnsi="黑体" w:cs="黑体"/>
          <w:sz w:val="32"/>
          <w:szCs w:val="32"/>
        </w:rPr>
      </w:pPr>
      <w:r>
        <w:rPr>
          <w:rStyle w:val="font31"/>
          <w:rFonts w:ascii="黑体" w:eastAsia="黑体" w:hAnsi="黑体" w:cs="黑体" w:hint="eastAsia"/>
          <w:sz w:val="32"/>
          <w:szCs w:val="32"/>
        </w:rPr>
        <w:t>三、资产管理情况</w:t>
      </w:r>
    </w:p>
    <w:p w:rsidR="00233596" w:rsidRDefault="00183CFC">
      <w:pPr>
        <w:spacing w:line="576" w:lineRule="exact"/>
        <w:ind w:firstLineChars="200" w:firstLine="640"/>
        <w:rPr>
          <w:rStyle w:val="font31"/>
          <w:rFonts w:hAnsi="仿宋_GB2312"/>
          <w:sz w:val="32"/>
          <w:szCs w:val="32"/>
        </w:rPr>
      </w:pPr>
      <w:r>
        <w:rPr>
          <w:rStyle w:val="font31"/>
          <w:rFonts w:hAnsi="仿宋_GB2312" w:hint="eastAsia"/>
          <w:sz w:val="32"/>
          <w:szCs w:val="32"/>
        </w:rPr>
        <w:t>2022</w:t>
      </w:r>
      <w:r w:rsidR="00AE5536">
        <w:rPr>
          <w:rStyle w:val="font31"/>
          <w:rFonts w:hAnsi="仿宋_GB2312" w:hint="eastAsia"/>
          <w:sz w:val="32"/>
          <w:szCs w:val="32"/>
        </w:rPr>
        <w:t>年城郊街道根据《行政单位国有资产管理暂行管理办法》《城郊街道机关固定资产管理制度》等相关要求，对机关所有固定资产进行了集中清理并登记造册，建立了固定资产管理台账，每项资产张贴了标签，每个办公室安装了固定资产登记卡片，资产数量、规格型号、保管、使用责任人，资产管理清晰明了，责任明确，管理有效，并根据固定资产使用年限和资产实际使用状况向宁乡市国有资产管理部门进行了定期申报核销处置。截止</w:t>
      </w:r>
      <w:r w:rsidRPr="009869E4">
        <w:rPr>
          <w:rStyle w:val="font31"/>
          <w:rFonts w:hAnsi="仿宋_GB2312" w:hint="eastAsia"/>
          <w:color w:val="auto"/>
          <w:sz w:val="32"/>
          <w:szCs w:val="32"/>
        </w:rPr>
        <w:t>2022</w:t>
      </w:r>
      <w:r w:rsidR="00AE5536" w:rsidRPr="009869E4">
        <w:rPr>
          <w:rStyle w:val="font31"/>
          <w:rFonts w:hAnsi="仿宋_GB2312" w:hint="eastAsia"/>
          <w:color w:val="auto"/>
          <w:sz w:val="32"/>
          <w:szCs w:val="32"/>
        </w:rPr>
        <w:t>年末，固定资产总额</w:t>
      </w:r>
      <w:r w:rsidR="00C95E2E" w:rsidRPr="009869E4">
        <w:rPr>
          <w:rStyle w:val="font31"/>
          <w:rFonts w:hAnsi="仿宋_GB2312" w:hint="eastAsia"/>
          <w:color w:val="auto"/>
          <w:sz w:val="32"/>
          <w:szCs w:val="32"/>
        </w:rPr>
        <w:t>5009.92</w:t>
      </w:r>
      <w:r w:rsidR="00AE5536" w:rsidRPr="009869E4">
        <w:rPr>
          <w:rStyle w:val="font31"/>
          <w:rFonts w:hAnsi="仿宋_GB2312" w:hint="eastAsia"/>
          <w:color w:val="auto"/>
          <w:sz w:val="32"/>
          <w:szCs w:val="32"/>
        </w:rPr>
        <w:t>万元，其中：土地房屋及构筑物</w:t>
      </w:r>
      <w:r w:rsidR="009869E4" w:rsidRPr="009869E4">
        <w:rPr>
          <w:rStyle w:val="font31"/>
          <w:rFonts w:hAnsi="仿宋_GB2312" w:hint="eastAsia"/>
          <w:color w:val="auto"/>
          <w:sz w:val="32"/>
          <w:szCs w:val="32"/>
        </w:rPr>
        <w:t>4674.74万元，车辆19.94万元，</w:t>
      </w:r>
      <w:r w:rsidR="00AE5536" w:rsidRPr="009869E4">
        <w:rPr>
          <w:rStyle w:val="font31"/>
          <w:rFonts w:hAnsi="仿宋_GB2312" w:hint="eastAsia"/>
          <w:color w:val="auto"/>
          <w:sz w:val="32"/>
          <w:szCs w:val="32"/>
        </w:rPr>
        <w:t>通用设备</w:t>
      </w:r>
      <w:r w:rsidR="009869E4" w:rsidRPr="009869E4">
        <w:rPr>
          <w:rStyle w:val="font31"/>
          <w:rFonts w:hAnsi="仿宋_GB2312" w:hint="eastAsia"/>
          <w:color w:val="auto"/>
          <w:sz w:val="32"/>
          <w:szCs w:val="32"/>
        </w:rPr>
        <w:t>189.72</w:t>
      </w:r>
      <w:r w:rsidR="00AE5536" w:rsidRPr="009869E4">
        <w:rPr>
          <w:rStyle w:val="font31"/>
          <w:rFonts w:hAnsi="仿宋_GB2312" w:hint="eastAsia"/>
          <w:color w:val="auto"/>
          <w:sz w:val="32"/>
          <w:szCs w:val="32"/>
        </w:rPr>
        <w:t>万元，专用设备</w:t>
      </w:r>
      <w:r w:rsidR="009869E4" w:rsidRPr="009869E4">
        <w:rPr>
          <w:rStyle w:val="font31"/>
          <w:rFonts w:hAnsi="仿宋_GB2312" w:hint="eastAsia"/>
          <w:color w:val="auto"/>
          <w:sz w:val="32"/>
          <w:szCs w:val="32"/>
        </w:rPr>
        <w:t>26.46</w:t>
      </w:r>
      <w:r w:rsidR="00AE5536" w:rsidRPr="009869E4">
        <w:rPr>
          <w:rStyle w:val="font31"/>
          <w:rFonts w:hAnsi="仿宋_GB2312" w:hint="eastAsia"/>
          <w:color w:val="auto"/>
          <w:sz w:val="32"/>
          <w:szCs w:val="32"/>
        </w:rPr>
        <w:t>万元；家具用具装具及动植物</w:t>
      </w:r>
      <w:r w:rsidR="009869E4" w:rsidRPr="009869E4">
        <w:rPr>
          <w:rStyle w:val="font31"/>
          <w:rFonts w:hAnsi="仿宋_GB2312" w:hint="eastAsia"/>
          <w:color w:val="auto"/>
          <w:sz w:val="32"/>
          <w:szCs w:val="32"/>
        </w:rPr>
        <w:t>99.06</w:t>
      </w:r>
      <w:r w:rsidR="00AE5536" w:rsidRPr="009869E4">
        <w:rPr>
          <w:rStyle w:val="font31"/>
          <w:rFonts w:hAnsi="仿宋_GB2312" w:hint="eastAsia"/>
          <w:color w:val="auto"/>
          <w:sz w:val="32"/>
          <w:szCs w:val="32"/>
        </w:rPr>
        <w:t>万元。</w:t>
      </w:r>
      <w:r w:rsidR="00AE5536">
        <w:rPr>
          <w:rStyle w:val="font31"/>
          <w:rFonts w:hAnsi="仿宋_GB2312" w:hint="eastAsia"/>
          <w:sz w:val="32"/>
          <w:szCs w:val="32"/>
        </w:rPr>
        <w:t>固定资产利用率100%，无空置、闲置资产。</w:t>
      </w:r>
    </w:p>
    <w:p w:rsidR="00233596" w:rsidRDefault="00AE5536">
      <w:pPr>
        <w:spacing w:line="576" w:lineRule="exact"/>
        <w:ind w:firstLineChars="200" w:firstLine="640"/>
        <w:rPr>
          <w:rStyle w:val="font31"/>
          <w:rFonts w:ascii="黑体" w:eastAsia="黑体" w:hAnsi="黑体" w:cs="黑体"/>
          <w:sz w:val="32"/>
          <w:szCs w:val="32"/>
        </w:rPr>
      </w:pPr>
      <w:r>
        <w:rPr>
          <w:rStyle w:val="font31"/>
          <w:rFonts w:ascii="黑体" w:eastAsia="黑体" w:hAnsi="黑体" w:cs="黑体" w:hint="eastAsia"/>
          <w:sz w:val="32"/>
          <w:szCs w:val="32"/>
        </w:rPr>
        <w:t>四、部门整体支出绩效情况</w:t>
      </w:r>
    </w:p>
    <w:p w:rsidR="005A7EA0" w:rsidRDefault="005A7EA0" w:rsidP="005A7EA0">
      <w:pPr>
        <w:spacing w:line="576" w:lineRule="exact"/>
        <w:ind w:firstLineChars="200" w:firstLine="643"/>
        <w:rPr>
          <w:rFonts w:ascii="Times New Roman" w:eastAsia="仿宋_GB2312" w:hAnsi="Times New Roman" w:cs="Times New Roman"/>
          <w:b/>
          <w:bCs/>
          <w:color w:val="000000" w:themeColor="text1"/>
        </w:rPr>
      </w:pPr>
      <w:r>
        <w:rPr>
          <w:rFonts w:ascii="Times New Roman" w:eastAsia="仿宋_GB2312" w:hAnsi="Times New Roman" w:cs="Times New Roman" w:hint="eastAsia"/>
          <w:b/>
          <w:bCs/>
          <w:color w:val="000000" w:themeColor="text1"/>
        </w:rPr>
        <w:t>（一）</w:t>
      </w:r>
      <w:r>
        <w:rPr>
          <w:rFonts w:ascii="Times New Roman" w:eastAsia="仿宋_GB2312" w:hAnsi="Times New Roman" w:cs="Times New Roman"/>
          <w:b/>
          <w:bCs/>
          <w:color w:val="000000" w:themeColor="text1"/>
        </w:rPr>
        <w:t>一心一意抓党建，汇聚基层治理更强合力。</w:t>
      </w:r>
    </w:p>
    <w:p w:rsidR="005A7EA0" w:rsidRDefault="005A7EA0" w:rsidP="005A7EA0">
      <w:pPr>
        <w:spacing w:line="576" w:lineRule="exact"/>
        <w:ind w:firstLineChars="200" w:firstLine="643"/>
        <w:rPr>
          <w:rFonts w:ascii="Times New Roman" w:eastAsia="仿宋_GB2312" w:hAnsi="Times New Roman" w:cs="Times New Roman"/>
          <w:color w:val="000000" w:themeColor="text1"/>
        </w:rPr>
      </w:pPr>
      <w:r>
        <w:rPr>
          <w:rFonts w:ascii="Times New Roman" w:eastAsia="仿宋_GB2312" w:hAnsi="Times New Roman" w:cs="Times New Roman"/>
          <w:b/>
          <w:bCs/>
          <w:color w:val="000000" w:themeColor="text1"/>
        </w:rPr>
        <w:t>一是党建基础不断夯实。</w:t>
      </w:r>
      <w:r>
        <w:rPr>
          <w:rFonts w:ascii="Times New Roman" w:eastAsia="仿宋_GB2312" w:hAnsi="Times New Roman" w:cs="Times New Roman"/>
          <w:bCs/>
          <w:color w:val="000000" w:themeColor="text1"/>
        </w:rPr>
        <w:t>坚决落实市两新工委对两新组织党组织覆盖率的</w:t>
      </w:r>
      <w:r>
        <w:rPr>
          <w:rFonts w:ascii="Times New Roman" w:eastAsia="仿宋_GB2312" w:hAnsi="Times New Roman" w:cs="Times New Roman"/>
          <w:bCs/>
          <w:color w:val="000000" w:themeColor="text1"/>
        </w:rPr>
        <w:t>3</w:t>
      </w:r>
      <w:r>
        <w:rPr>
          <w:rFonts w:ascii="Times New Roman" w:eastAsia="仿宋_GB2312" w:hAnsi="Times New Roman" w:cs="Times New Roman"/>
          <w:bCs/>
          <w:color w:val="000000" w:themeColor="text1"/>
        </w:rPr>
        <w:t>个</w:t>
      </w:r>
      <w:r>
        <w:rPr>
          <w:rFonts w:ascii="Times New Roman" w:eastAsia="仿宋_GB2312" w:hAnsi="Times New Roman" w:cs="Times New Roman"/>
          <w:bCs/>
          <w:color w:val="000000" w:themeColor="text1"/>
        </w:rPr>
        <w:t>100%</w:t>
      </w:r>
      <w:r>
        <w:rPr>
          <w:rFonts w:ascii="Times New Roman" w:eastAsia="仿宋_GB2312" w:hAnsi="Times New Roman" w:cs="Times New Roman"/>
          <w:bCs/>
          <w:color w:val="000000" w:themeColor="text1"/>
        </w:rPr>
        <w:t>的具体要求，新建</w:t>
      </w:r>
      <w:r>
        <w:rPr>
          <w:rFonts w:ascii="Times New Roman" w:eastAsia="仿宋_GB2312" w:hAnsi="Times New Roman" w:cs="Times New Roman"/>
          <w:bCs/>
          <w:color w:val="000000" w:themeColor="text1"/>
        </w:rPr>
        <w:t>40</w:t>
      </w:r>
      <w:r>
        <w:rPr>
          <w:rFonts w:ascii="Times New Roman" w:eastAsia="仿宋_GB2312" w:hAnsi="Times New Roman" w:cs="Times New Roman"/>
          <w:bCs/>
          <w:color w:val="000000" w:themeColor="text1"/>
        </w:rPr>
        <w:t>个两新党组织，全面加强组织建设。创新打造石泉社区党员管理和安置小区治理示范点、东沩社区区域化党建指导示范点、街道社会组织党组织孵</w:t>
      </w:r>
      <w:r>
        <w:rPr>
          <w:rFonts w:ascii="Times New Roman" w:eastAsia="仿宋_GB2312" w:hAnsi="Times New Roman" w:cs="Times New Roman"/>
          <w:bCs/>
          <w:color w:val="000000" w:themeColor="text1"/>
        </w:rPr>
        <w:lastRenderedPageBreak/>
        <w:t>化基地，不断激发党建活力。</w:t>
      </w:r>
      <w:r>
        <w:rPr>
          <w:rFonts w:ascii="Times New Roman" w:eastAsia="仿宋_GB2312" w:hAnsi="Times New Roman" w:cs="Times New Roman"/>
          <w:color w:val="000000" w:themeColor="text1"/>
        </w:rPr>
        <w:t>宁磷小区以联合党支部牵头的自治治理模式，被国家住建部纳入《城镇老旧小区改造可复制政策机制清单（第五批）》在全国推介。农民安置区馨宁小区，</w:t>
      </w:r>
      <w:r>
        <w:rPr>
          <w:rFonts w:ascii="Times New Roman" w:eastAsia="仿宋" w:hAnsi="Times New Roman" w:cs="Times New Roman"/>
          <w:color w:val="000000" w:themeColor="text1"/>
        </w:rPr>
        <w:t>支部牵头组建自治委员会，成立</w:t>
      </w:r>
      <w:r>
        <w:rPr>
          <w:rFonts w:ascii="Times New Roman" w:eastAsia="仿宋_GB2312" w:hAnsi="Times New Roman" w:cs="Times New Roman"/>
          <w:color w:val="000000" w:themeColor="text1"/>
          <w:kern w:val="0"/>
          <w:shd w:val="clear" w:color="auto" w:fill="FFFFFF"/>
        </w:rPr>
        <w:t>红、蓝、绿三色马甲</w:t>
      </w:r>
      <w:r>
        <w:rPr>
          <w:rFonts w:ascii="Times New Roman" w:eastAsia="仿宋" w:hAnsi="Times New Roman" w:cs="Times New Roman"/>
          <w:color w:val="000000" w:themeColor="text1"/>
        </w:rPr>
        <w:t>党员志愿</w:t>
      </w:r>
      <w:r>
        <w:rPr>
          <w:rFonts w:ascii="Times New Roman" w:eastAsia="仿宋_GB2312" w:hAnsi="Times New Roman" w:cs="Times New Roman"/>
          <w:color w:val="000000" w:themeColor="text1"/>
          <w:kern w:val="0"/>
          <w:shd w:val="clear" w:color="auto" w:fill="FFFFFF"/>
        </w:rPr>
        <w:t>服务队，打造的共商、共建、共治、共享模式初见成效，群众幸福感不断提升。</w:t>
      </w:r>
      <w:r>
        <w:rPr>
          <w:rFonts w:ascii="Times New Roman" w:eastAsia="仿宋_GB2312" w:hAnsi="Times New Roman" w:cs="Times New Roman"/>
          <w:b/>
          <w:bCs/>
          <w:color w:val="000000" w:themeColor="text1"/>
        </w:rPr>
        <w:t>二是</w:t>
      </w:r>
      <w:r>
        <w:rPr>
          <w:rFonts w:ascii="Times New Roman" w:eastAsia="仿宋_GB2312" w:hAnsi="Times New Roman" w:cs="Times New Roman"/>
          <w:b/>
          <w:bCs/>
          <w:color w:val="000000" w:themeColor="text1"/>
        </w:rPr>
        <w:t>“</w:t>
      </w:r>
      <w:r>
        <w:rPr>
          <w:rFonts w:ascii="Times New Roman" w:eastAsia="仿宋_GB2312" w:hAnsi="Times New Roman" w:cs="Times New Roman"/>
          <w:b/>
          <w:bCs/>
          <w:color w:val="000000" w:themeColor="text1"/>
        </w:rPr>
        <w:t>三亮三比</w:t>
      </w:r>
      <w:r>
        <w:rPr>
          <w:rFonts w:ascii="Times New Roman" w:eastAsia="仿宋_GB2312" w:hAnsi="Times New Roman" w:cs="Times New Roman"/>
          <w:b/>
          <w:bCs/>
          <w:color w:val="000000" w:themeColor="text1"/>
        </w:rPr>
        <w:t>”</w:t>
      </w:r>
      <w:r>
        <w:rPr>
          <w:rFonts w:ascii="Times New Roman" w:eastAsia="仿宋_GB2312" w:hAnsi="Times New Roman" w:cs="Times New Roman"/>
          <w:b/>
          <w:bCs/>
          <w:color w:val="000000" w:themeColor="text1"/>
        </w:rPr>
        <w:t>成效显著。</w:t>
      </w:r>
      <w:r>
        <w:rPr>
          <w:rFonts w:ascii="Times New Roman" w:eastAsia="仿宋_GB2312" w:hAnsi="Times New Roman" w:cs="Times New Roman"/>
          <w:bCs/>
          <w:color w:val="000000" w:themeColor="text1"/>
        </w:rPr>
        <w:t>街道牢固树立</w:t>
      </w:r>
      <w:r>
        <w:rPr>
          <w:rFonts w:ascii="Times New Roman" w:eastAsia="仿宋_GB2312" w:hAnsi="Times New Roman" w:cs="Times New Roman"/>
          <w:bCs/>
          <w:color w:val="000000" w:themeColor="text1"/>
        </w:rPr>
        <w:t>“</w:t>
      </w:r>
      <w:r>
        <w:rPr>
          <w:rFonts w:ascii="Times New Roman" w:eastAsia="仿宋_GB2312" w:hAnsi="Times New Roman" w:cs="Times New Roman"/>
          <w:bCs/>
          <w:color w:val="000000" w:themeColor="text1"/>
        </w:rPr>
        <w:t>抓好党建就是最大政绩</w:t>
      </w:r>
      <w:r>
        <w:rPr>
          <w:rFonts w:ascii="Times New Roman" w:eastAsia="仿宋_GB2312" w:hAnsi="Times New Roman" w:cs="Times New Roman"/>
          <w:bCs/>
          <w:color w:val="000000" w:themeColor="text1"/>
        </w:rPr>
        <w:t>”</w:t>
      </w:r>
      <w:r>
        <w:rPr>
          <w:rFonts w:ascii="Times New Roman" w:eastAsia="仿宋_GB2312" w:hAnsi="Times New Roman" w:cs="Times New Roman"/>
          <w:bCs/>
          <w:color w:val="000000" w:themeColor="text1"/>
        </w:rPr>
        <w:t>的工作理念，</w:t>
      </w:r>
      <w:r>
        <w:rPr>
          <w:rFonts w:ascii="Times New Roman" w:eastAsia="仿宋_GB2312" w:hAnsi="Times New Roman" w:cs="Times New Roman"/>
          <w:color w:val="000000" w:themeColor="text1"/>
        </w:rPr>
        <w:t>围绕疫情防控、自建房安全整治、文明创建等中心工作，结合</w:t>
      </w:r>
      <w:r>
        <w:rPr>
          <w:rFonts w:ascii="Times New Roman" w:eastAsia="仿宋_GB2312" w:hAnsi="Times New Roman" w:cs="Times New Roman"/>
          <w:color w:val="000000" w:themeColor="text1"/>
          <w:kern w:val="0"/>
          <w:shd w:val="clear" w:color="auto" w:fill="FFFFFF"/>
        </w:rPr>
        <w:t>党员</w:t>
      </w:r>
      <w:r>
        <w:rPr>
          <w:rFonts w:ascii="Times New Roman" w:eastAsia="仿宋_GB2312" w:hAnsi="Times New Roman" w:cs="Times New Roman"/>
          <w:color w:val="000000" w:themeColor="text1"/>
          <w:kern w:val="0"/>
          <w:shd w:val="clear" w:color="auto" w:fill="FFFFFF"/>
        </w:rPr>
        <w:t>“</w:t>
      </w:r>
      <w:r>
        <w:rPr>
          <w:rFonts w:ascii="Times New Roman" w:eastAsia="仿宋_GB2312" w:hAnsi="Times New Roman" w:cs="Times New Roman"/>
          <w:color w:val="000000" w:themeColor="text1"/>
          <w:kern w:val="0"/>
          <w:shd w:val="clear" w:color="auto" w:fill="FFFFFF"/>
        </w:rPr>
        <w:t>三亮三比</w:t>
      </w:r>
      <w:r>
        <w:rPr>
          <w:rFonts w:ascii="Times New Roman" w:eastAsia="仿宋_GB2312" w:hAnsi="Times New Roman" w:cs="Times New Roman"/>
          <w:color w:val="000000" w:themeColor="text1"/>
          <w:kern w:val="0"/>
          <w:shd w:val="clear" w:color="auto" w:fill="FFFFFF"/>
        </w:rPr>
        <w:t>”</w:t>
      </w:r>
      <w:r>
        <w:rPr>
          <w:rFonts w:ascii="Times New Roman" w:eastAsia="仿宋_GB2312" w:hAnsi="Times New Roman" w:cs="Times New Roman"/>
          <w:color w:val="000000" w:themeColor="text1"/>
          <w:kern w:val="0"/>
          <w:shd w:val="clear" w:color="auto" w:fill="FFFFFF"/>
        </w:rPr>
        <w:t>行动，共计开展各类主题志愿服务活动</w:t>
      </w:r>
      <w:r>
        <w:rPr>
          <w:rFonts w:ascii="Times New Roman" w:eastAsia="仿宋_GB2312" w:hAnsi="Times New Roman" w:cs="Times New Roman"/>
          <w:color w:val="000000" w:themeColor="text1"/>
          <w:kern w:val="0"/>
          <w:shd w:val="clear" w:color="auto" w:fill="FFFFFF"/>
        </w:rPr>
        <w:t>300</w:t>
      </w:r>
      <w:r>
        <w:rPr>
          <w:rFonts w:ascii="Times New Roman" w:eastAsia="仿宋_GB2312" w:hAnsi="Times New Roman" w:cs="Times New Roman"/>
          <w:color w:val="000000" w:themeColor="text1"/>
          <w:kern w:val="0"/>
          <w:shd w:val="clear" w:color="auto" w:fill="FFFFFF"/>
        </w:rPr>
        <w:t>余次，完成联户走访</w:t>
      </w:r>
      <w:r>
        <w:rPr>
          <w:rFonts w:ascii="Times New Roman" w:eastAsia="仿宋_GB2312" w:hAnsi="Times New Roman" w:cs="Times New Roman"/>
          <w:color w:val="000000" w:themeColor="text1"/>
          <w:kern w:val="0"/>
          <w:shd w:val="clear" w:color="auto" w:fill="FFFFFF"/>
        </w:rPr>
        <w:t>8000</w:t>
      </w:r>
      <w:r>
        <w:rPr>
          <w:rFonts w:ascii="Times New Roman" w:eastAsia="仿宋_GB2312" w:hAnsi="Times New Roman" w:cs="Times New Roman"/>
          <w:color w:val="000000" w:themeColor="text1"/>
          <w:kern w:val="0"/>
          <w:shd w:val="clear" w:color="auto" w:fill="FFFFFF"/>
        </w:rPr>
        <w:t>多户，解决群众重点问题</w:t>
      </w:r>
      <w:r>
        <w:rPr>
          <w:rFonts w:ascii="Times New Roman" w:eastAsia="仿宋_GB2312" w:hAnsi="Times New Roman" w:cs="Times New Roman"/>
          <w:color w:val="000000" w:themeColor="text1"/>
          <w:kern w:val="0"/>
          <w:shd w:val="clear" w:color="auto" w:fill="FFFFFF"/>
        </w:rPr>
        <w:t>200</w:t>
      </w:r>
      <w:r>
        <w:rPr>
          <w:rFonts w:ascii="Times New Roman" w:eastAsia="仿宋_GB2312" w:hAnsi="Times New Roman" w:cs="Times New Roman"/>
          <w:color w:val="000000" w:themeColor="text1"/>
          <w:kern w:val="0"/>
          <w:shd w:val="clear" w:color="auto" w:fill="FFFFFF"/>
        </w:rPr>
        <w:t>多个。创新组建信访帮扶化解党小组，对重点信访对象采取多对一包户，</w:t>
      </w:r>
      <w:r>
        <w:rPr>
          <w:rFonts w:ascii="Times New Roman" w:eastAsia="仿宋_GB2312" w:hAnsi="Times New Roman" w:cs="Times New Roman"/>
          <w:color w:val="000000" w:themeColor="text1"/>
          <w:kern w:val="0"/>
          <w:shd w:val="clear" w:color="auto" w:fill="FFFFFF"/>
        </w:rPr>
        <w:t>2022</w:t>
      </w:r>
      <w:r>
        <w:rPr>
          <w:rFonts w:ascii="Times New Roman" w:eastAsia="仿宋_GB2312" w:hAnsi="Times New Roman" w:cs="Times New Roman"/>
          <w:color w:val="000000" w:themeColor="text1"/>
          <w:kern w:val="0"/>
          <w:shd w:val="clear" w:color="auto" w:fill="FFFFFF"/>
        </w:rPr>
        <w:t>年共计化解重点信访户</w:t>
      </w:r>
      <w:r>
        <w:rPr>
          <w:rFonts w:ascii="Times New Roman" w:eastAsia="仿宋_GB2312" w:hAnsi="Times New Roman" w:cs="Times New Roman"/>
          <w:color w:val="000000" w:themeColor="text1"/>
          <w:kern w:val="0"/>
          <w:shd w:val="clear" w:color="auto" w:fill="FFFFFF"/>
        </w:rPr>
        <w:t>4</w:t>
      </w:r>
      <w:r>
        <w:rPr>
          <w:rFonts w:ascii="Times New Roman" w:eastAsia="仿宋_GB2312" w:hAnsi="Times New Roman" w:cs="Times New Roman" w:hint="eastAsia"/>
          <w:color w:val="000000" w:themeColor="text1"/>
          <w:kern w:val="0"/>
          <w:shd w:val="clear" w:color="auto" w:fill="FFFFFF"/>
        </w:rPr>
        <w:t>户</w:t>
      </w:r>
      <w:r>
        <w:rPr>
          <w:rFonts w:ascii="Times New Roman" w:eastAsia="仿宋_GB2312" w:hAnsi="Times New Roman" w:cs="Times New Roman"/>
          <w:color w:val="000000" w:themeColor="text1"/>
          <w:kern w:val="0"/>
          <w:shd w:val="clear" w:color="auto" w:fill="FFFFFF"/>
        </w:rPr>
        <w:t>，完成领导交办信访件</w:t>
      </w:r>
      <w:r>
        <w:rPr>
          <w:rFonts w:ascii="Times New Roman" w:eastAsia="仿宋_GB2312" w:hAnsi="Times New Roman" w:cs="Times New Roman"/>
          <w:color w:val="000000" w:themeColor="text1"/>
          <w:kern w:val="0"/>
          <w:shd w:val="clear" w:color="auto" w:fill="FFFFFF"/>
        </w:rPr>
        <w:t>8</w:t>
      </w:r>
      <w:r>
        <w:rPr>
          <w:rFonts w:ascii="Times New Roman" w:eastAsia="仿宋_GB2312" w:hAnsi="Times New Roman" w:cs="Times New Roman"/>
          <w:color w:val="000000" w:themeColor="text1"/>
          <w:kern w:val="0"/>
          <w:shd w:val="clear" w:color="auto" w:fill="FFFFFF"/>
        </w:rPr>
        <w:t>件，纳入满意度评价的信访件</w:t>
      </w:r>
      <w:r>
        <w:rPr>
          <w:rFonts w:ascii="Times New Roman" w:eastAsia="仿宋_GB2312" w:hAnsi="Times New Roman" w:cs="Times New Roman"/>
          <w:color w:val="000000" w:themeColor="text1"/>
          <w:kern w:val="0"/>
          <w:shd w:val="clear" w:color="auto" w:fill="FFFFFF"/>
        </w:rPr>
        <w:t>20</w:t>
      </w:r>
      <w:r>
        <w:rPr>
          <w:rFonts w:ascii="Times New Roman" w:eastAsia="仿宋_GB2312" w:hAnsi="Times New Roman" w:cs="Times New Roman"/>
          <w:color w:val="000000" w:themeColor="text1"/>
          <w:kern w:val="0"/>
          <w:shd w:val="clear" w:color="auto" w:fill="FFFFFF"/>
        </w:rPr>
        <w:t>件，满意率为</w:t>
      </w:r>
      <w:r>
        <w:rPr>
          <w:rFonts w:ascii="Times New Roman" w:eastAsia="仿宋_GB2312" w:hAnsi="Times New Roman" w:cs="Times New Roman"/>
          <w:color w:val="000000" w:themeColor="text1"/>
          <w:kern w:val="0"/>
          <w:shd w:val="clear" w:color="auto" w:fill="FFFFFF"/>
        </w:rPr>
        <w:t>100%</w:t>
      </w:r>
      <w:r>
        <w:rPr>
          <w:rFonts w:ascii="Times New Roman" w:eastAsia="仿宋_GB2312" w:hAnsi="Times New Roman" w:cs="Times New Roman"/>
          <w:color w:val="000000" w:themeColor="text1"/>
          <w:kern w:val="0"/>
          <w:shd w:val="clear" w:color="auto" w:fill="FFFFFF"/>
        </w:rPr>
        <w:t>。创新推行党员</w:t>
      </w:r>
      <w:r>
        <w:rPr>
          <w:rFonts w:ascii="Times New Roman" w:eastAsia="仿宋_GB2312" w:hAnsi="Times New Roman" w:cs="Times New Roman"/>
          <w:color w:val="000000" w:themeColor="text1"/>
          <w:kern w:val="0"/>
          <w:shd w:val="clear" w:color="auto" w:fill="FFFFFF"/>
        </w:rPr>
        <w:t>“</w:t>
      </w:r>
      <w:r>
        <w:rPr>
          <w:rFonts w:ascii="Times New Roman" w:eastAsia="仿宋_GB2312" w:hAnsi="Times New Roman" w:cs="Times New Roman"/>
          <w:color w:val="000000" w:themeColor="text1"/>
          <w:kern w:val="0"/>
          <w:shd w:val="clear" w:color="auto" w:fill="FFFFFF"/>
        </w:rPr>
        <w:t>三亮三比</w:t>
      </w:r>
      <w:r>
        <w:rPr>
          <w:rFonts w:ascii="Times New Roman" w:eastAsia="仿宋_GB2312" w:hAnsi="Times New Roman" w:cs="Times New Roman"/>
          <w:color w:val="000000" w:themeColor="text1"/>
          <w:kern w:val="0"/>
          <w:shd w:val="clear" w:color="auto" w:fill="FFFFFF"/>
        </w:rPr>
        <w:t>”</w:t>
      </w:r>
      <w:r>
        <w:rPr>
          <w:rFonts w:ascii="Times New Roman" w:eastAsia="仿宋_GB2312" w:hAnsi="Times New Roman" w:cs="Times New Roman"/>
          <w:color w:val="000000" w:themeColor="text1"/>
          <w:kern w:val="0"/>
          <w:shd w:val="clear" w:color="auto" w:fill="FFFFFF"/>
        </w:rPr>
        <w:t>联户工作小程序，线上线下相结合，确保把联户工作做好做实。</w:t>
      </w:r>
      <w:r>
        <w:rPr>
          <w:rFonts w:ascii="Times New Roman" w:eastAsia="仿宋_GB2312" w:hAnsi="Times New Roman" w:cs="Times New Roman" w:hint="eastAsia"/>
          <w:color w:val="000000" w:themeColor="text1"/>
          <w:kern w:val="0"/>
          <w:shd w:val="clear" w:color="auto" w:fill="FFFFFF"/>
        </w:rPr>
        <w:t>在全市“三亮三比”活动考核取得</w:t>
      </w:r>
      <w:r>
        <w:rPr>
          <w:rFonts w:ascii="Times New Roman" w:eastAsia="仿宋_GB2312" w:hAnsi="Times New Roman" w:cs="Times New Roman" w:hint="eastAsia"/>
          <w:color w:val="000000" w:themeColor="text1"/>
          <w:kern w:val="0"/>
          <w:shd w:val="clear" w:color="auto" w:fill="FFFFFF"/>
        </w:rPr>
        <w:t>29</w:t>
      </w:r>
      <w:r>
        <w:rPr>
          <w:rFonts w:ascii="Times New Roman" w:eastAsia="仿宋_GB2312" w:hAnsi="Times New Roman" w:cs="Times New Roman" w:hint="eastAsia"/>
          <w:color w:val="000000" w:themeColor="text1"/>
          <w:kern w:val="0"/>
          <w:shd w:val="clear" w:color="auto" w:fill="FFFFFF"/>
        </w:rPr>
        <w:t>个乡镇街道第</w:t>
      </w:r>
      <w:r>
        <w:rPr>
          <w:rFonts w:ascii="Times New Roman" w:eastAsia="仿宋_GB2312" w:hAnsi="Times New Roman" w:cs="Times New Roman" w:hint="eastAsia"/>
          <w:color w:val="000000" w:themeColor="text1"/>
          <w:kern w:val="0"/>
          <w:shd w:val="clear" w:color="auto" w:fill="FFFFFF"/>
        </w:rPr>
        <w:t>2</w:t>
      </w:r>
      <w:r>
        <w:rPr>
          <w:rFonts w:ascii="Times New Roman" w:eastAsia="仿宋_GB2312" w:hAnsi="Times New Roman" w:cs="Times New Roman" w:hint="eastAsia"/>
          <w:color w:val="000000" w:themeColor="text1"/>
          <w:kern w:val="0"/>
          <w:shd w:val="clear" w:color="auto" w:fill="FFFFFF"/>
        </w:rPr>
        <w:t>名的好成绩。</w:t>
      </w:r>
      <w:r>
        <w:rPr>
          <w:rFonts w:ascii="Times New Roman" w:eastAsia="仿宋_GB2312" w:hAnsi="Times New Roman" w:cs="Times New Roman"/>
          <w:b/>
          <w:bCs/>
          <w:color w:val="000000" w:themeColor="text1"/>
        </w:rPr>
        <w:t>三是从严治党纵深推进。</w:t>
      </w:r>
      <w:r>
        <w:rPr>
          <w:rFonts w:ascii="Times New Roman" w:eastAsia="仿宋_GB2312" w:hAnsi="Times New Roman" w:cs="Times New Roman"/>
          <w:color w:val="000000" w:themeColor="text1"/>
        </w:rPr>
        <w:t>建立党工委书记与班子成员、分管领导与线办负责人、联社区领导与社区书记、中层骨干与一般干部的谈话制度，防微杜渐用好</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四种形态</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。去年以来，党工委班子成员运用第一种形态谈话</w:t>
      </w:r>
      <w:r>
        <w:rPr>
          <w:rFonts w:ascii="Times New Roman" w:eastAsia="仿宋_GB2312" w:hAnsi="Times New Roman" w:cs="Times New Roman"/>
          <w:color w:val="000000" w:themeColor="text1"/>
        </w:rPr>
        <w:t>188</w:t>
      </w:r>
      <w:r>
        <w:rPr>
          <w:rFonts w:ascii="Times New Roman" w:eastAsia="仿宋_GB2312" w:hAnsi="Times New Roman" w:cs="Times New Roman"/>
          <w:color w:val="000000" w:themeColor="text1"/>
        </w:rPr>
        <w:t>人次，其中廉政谈话</w:t>
      </w:r>
      <w:r>
        <w:rPr>
          <w:rFonts w:ascii="Times New Roman" w:eastAsia="仿宋_GB2312" w:hAnsi="Times New Roman" w:cs="Times New Roman"/>
          <w:color w:val="000000" w:themeColor="text1"/>
        </w:rPr>
        <w:t>118</w:t>
      </w:r>
      <w:r>
        <w:rPr>
          <w:rFonts w:ascii="Times New Roman" w:eastAsia="仿宋_GB2312" w:hAnsi="Times New Roman" w:cs="Times New Roman"/>
          <w:color w:val="000000" w:themeColor="text1"/>
        </w:rPr>
        <w:t>人次，提醒谈话</w:t>
      </w:r>
      <w:r>
        <w:rPr>
          <w:rFonts w:ascii="Times New Roman" w:eastAsia="仿宋_GB2312" w:hAnsi="Times New Roman" w:cs="Times New Roman"/>
          <w:color w:val="000000" w:themeColor="text1"/>
        </w:rPr>
        <w:t>70</w:t>
      </w:r>
      <w:r>
        <w:rPr>
          <w:rFonts w:ascii="Times New Roman" w:eastAsia="仿宋_GB2312" w:hAnsi="Times New Roman" w:cs="Times New Roman"/>
          <w:color w:val="000000" w:themeColor="text1"/>
        </w:rPr>
        <w:t>人次。立案审查违纪党员干部</w:t>
      </w:r>
      <w:r>
        <w:rPr>
          <w:rFonts w:ascii="Times New Roman" w:eastAsia="仿宋_GB2312" w:hAnsi="Times New Roman" w:cs="Times New Roman"/>
          <w:color w:val="000000" w:themeColor="text1"/>
        </w:rPr>
        <w:t>15</w:t>
      </w:r>
      <w:r>
        <w:rPr>
          <w:rFonts w:ascii="Times New Roman" w:eastAsia="仿宋_GB2312" w:hAnsi="Times New Roman" w:cs="Times New Roman"/>
          <w:color w:val="000000" w:themeColor="text1"/>
        </w:rPr>
        <w:t>人、监察调查非党干部</w:t>
      </w:r>
      <w:r>
        <w:rPr>
          <w:rFonts w:ascii="Times New Roman" w:eastAsia="仿宋_GB2312" w:hAnsi="Times New Roman" w:cs="Times New Roman"/>
          <w:color w:val="000000" w:themeColor="text1"/>
        </w:rPr>
        <w:t>1</w:t>
      </w:r>
      <w:r>
        <w:rPr>
          <w:rFonts w:ascii="Times New Roman" w:eastAsia="仿宋_GB2312" w:hAnsi="Times New Roman" w:cs="Times New Roman"/>
          <w:color w:val="000000" w:themeColor="text1"/>
        </w:rPr>
        <w:t>人</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处分</w:t>
      </w:r>
      <w:r>
        <w:rPr>
          <w:rFonts w:ascii="Times New Roman" w:eastAsia="仿宋_GB2312" w:hAnsi="Times New Roman" w:cs="Times New Roman"/>
          <w:color w:val="000000" w:themeColor="text1"/>
        </w:rPr>
        <w:t>16</w:t>
      </w:r>
      <w:r>
        <w:rPr>
          <w:rFonts w:ascii="Times New Roman" w:eastAsia="仿宋_GB2312" w:hAnsi="Times New Roman" w:cs="Times New Roman"/>
          <w:color w:val="000000" w:themeColor="text1"/>
        </w:rPr>
        <w:t>人。建设东沩广场廉政宣传阵地和关心社区廉政文化示范基地。罗宦社区和泰家园、时代和府小区建成为宁乡首个清廉文化示范小区。</w:t>
      </w:r>
    </w:p>
    <w:p w:rsidR="005A7EA0" w:rsidRDefault="005A7EA0" w:rsidP="005A7EA0">
      <w:pPr>
        <w:spacing w:line="576" w:lineRule="exact"/>
        <w:ind w:firstLineChars="200" w:firstLine="643"/>
        <w:rPr>
          <w:rFonts w:ascii="Times New Roman" w:eastAsia="仿宋_GB2312" w:hAnsi="Times New Roman" w:cs="Times New Roman"/>
          <w:b/>
          <w:bCs/>
          <w:color w:val="000000" w:themeColor="text1"/>
        </w:rPr>
      </w:pPr>
      <w:r>
        <w:rPr>
          <w:rFonts w:ascii="Times New Roman" w:eastAsia="仿宋_GB2312" w:hAnsi="Times New Roman" w:cs="Times New Roman" w:hint="eastAsia"/>
          <w:b/>
          <w:bCs/>
          <w:color w:val="000000" w:themeColor="text1"/>
        </w:rPr>
        <w:lastRenderedPageBreak/>
        <w:t>（二）</w:t>
      </w:r>
      <w:r>
        <w:rPr>
          <w:rFonts w:ascii="Times New Roman" w:eastAsia="仿宋_GB2312" w:hAnsi="Times New Roman" w:cs="Times New Roman"/>
          <w:b/>
          <w:bCs/>
          <w:color w:val="000000" w:themeColor="text1"/>
        </w:rPr>
        <w:t>一马当先强经济，注入高质量发展新动力。</w:t>
      </w:r>
    </w:p>
    <w:p w:rsidR="005A7EA0" w:rsidRDefault="005A7EA0" w:rsidP="005A7EA0">
      <w:pPr>
        <w:spacing w:line="576" w:lineRule="exact"/>
        <w:ind w:firstLineChars="200" w:firstLine="643"/>
        <w:rPr>
          <w:rFonts w:ascii="Times New Roman" w:eastAsia="仿宋_GB2312" w:hAnsi="Times New Roman" w:cs="Times New Roman"/>
          <w:color w:val="000000" w:themeColor="text1"/>
        </w:rPr>
      </w:pPr>
      <w:r>
        <w:rPr>
          <w:rFonts w:ascii="Times New Roman" w:eastAsia="仿宋_GB2312" w:hAnsi="Times New Roman" w:cs="Times New Roman"/>
          <w:b/>
          <w:bCs/>
          <w:color w:val="000000" w:themeColor="text1"/>
        </w:rPr>
        <w:t>一是主要经济指标承压奋进。</w:t>
      </w:r>
      <w:r>
        <w:rPr>
          <w:rFonts w:ascii="Times New Roman" w:eastAsia="仿宋_GB2312" w:hAnsi="Times New Roman" w:cs="Times New Roman"/>
          <w:color w:val="000000" w:themeColor="text1"/>
        </w:rPr>
        <w:t>2022</w:t>
      </w:r>
      <w:r>
        <w:rPr>
          <w:rFonts w:ascii="Times New Roman" w:eastAsia="仿宋_GB2312" w:hAnsi="Times New Roman" w:cs="Times New Roman"/>
          <w:color w:val="000000" w:themeColor="text1"/>
        </w:rPr>
        <w:t>年完成地方税收</w:t>
      </w:r>
      <w:r>
        <w:rPr>
          <w:rFonts w:ascii="Times New Roman" w:eastAsia="仿宋_GB2312" w:hAnsi="Times New Roman" w:cs="Times New Roman"/>
          <w:color w:val="000000" w:themeColor="text1"/>
        </w:rPr>
        <w:t>7609</w:t>
      </w:r>
      <w:r>
        <w:rPr>
          <w:rFonts w:ascii="Times New Roman" w:eastAsia="仿宋_GB2312" w:hAnsi="Times New Roman" w:cs="Times New Roman"/>
          <w:color w:val="000000" w:themeColor="text1"/>
        </w:rPr>
        <w:t>万元；固定资产投资</w:t>
      </w:r>
      <w:r>
        <w:rPr>
          <w:rFonts w:ascii="Times New Roman" w:eastAsia="仿宋_GB2312" w:hAnsi="Times New Roman" w:cs="Times New Roman"/>
          <w:color w:val="000000" w:themeColor="text1"/>
        </w:rPr>
        <w:t>38.8</w:t>
      </w:r>
      <w:r>
        <w:rPr>
          <w:rFonts w:ascii="Times New Roman" w:eastAsia="仿宋_GB2312" w:hAnsi="Times New Roman" w:cs="Times New Roman"/>
          <w:color w:val="000000" w:themeColor="text1"/>
        </w:rPr>
        <w:t>亿元，完成全年任务的</w:t>
      </w:r>
      <w:r>
        <w:rPr>
          <w:rFonts w:ascii="Times New Roman" w:eastAsia="仿宋_GB2312" w:hAnsi="Times New Roman" w:cs="Times New Roman"/>
          <w:color w:val="000000" w:themeColor="text1"/>
        </w:rPr>
        <w:t>102.1%</w:t>
      </w:r>
      <w:r>
        <w:rPr>
          <w:rFonts w:ascii="Times New Roman" w:eastAsia="仿宋_GB2312" w:hAnsi="Times New Roman" w:cs="Times New Roman"/>
          <w:color w:val="000000" w:themeColor="text1"/>
        </w:rPr>
        <w:t>；规模工业总产值</w:t>
      </w:r>
      <w:r>
        <w:rPr>
          <w:rFonts w:ascii="Times New Roman" w:eastAsia="仿宋_GB2312" w:hAnsi="Times New Roman" w:cs="Times New Roman"/>
          <w:color w:val="000000" w:themeColor="text1"/>
        </w:rPr>
        <w:t>17.6</w:t>
      </w:r>
      <w:r>
        <w:rPr>
          <w:rFonts w:ascii="Times New Roman" w:eastAsia="仿宋_GB2312" w:hAnsi="Times New Roman" w:cs="Times New Roman"/>
          <w:color w:val="000000" w:themeColor="text1"/>
        </w:rPr>
        <w:t>亿元，完成全年任务的</w:t>
      </w:r>
      <w:r>
        <w:rPr>
          <w:rFonts w:ascii="Times New Roman" w:eastAsia="仿宋_GB2312" w:hAnsi="Times New Roman" w:cs="Times New Roman"/>
          <w:color w:val="000000" w:themeColor="text1"/>
        </w:rPr>
        <w:t>100.2%</w:t>
      </w:r>
      <w:r>
        <w:rPr>
          <w:rFonts w:ascii="Times New Roman" w:eastAsia="仿宋_GB2312" w:hAnsi="Times New Roman" w:cs="Times New Roman"/>
          <w:color w:val="000000" w:themeColor="text1"/>
        </w:rPr>
        <w:t>，同比增长</w:t>
      </w:r>
      <w:r>
        <w:rPr>
          <w:rFonts w:ascii="Times New Roman" w:eastAsia="仿宋_GB2312" w:hAnsi="Times New Roman" w:cs="Times New Roman"/>
          <w:color w:val="000000" w:themeColor="text1"/>
        </w:rPr>
        <w:t>14.3%</w:t>
      </w:r>
      <w:r>
        <w:rPr>
          <w:rFonts w:ascii="Times New Roman" w:eastAsia="仿宋_GB2312" w:hAnsi="Times New Roman" w:cs="Times New Roman"/>
          <w:color w:val="000000" w:themeColor="text1"/>
        </w:rPr>
        <w:t>；社会消费品零售总额</w:t>
      </w:r>
      <w:r>
        <w:rPr>
          <w:rFonts w:ascii="Times New Roman" w:eastAsia="仿宋_GB2312" w:hAnsi="Times New Roman" w:cs="Times New Roman"/>
          <w:color w:val="000000" w:themeColor="text1"/>
        </w:rPr>
        <w:t>10.42</w:t>
      </w:r>
      <w:r>
        <w:rPr>
          <w:rFonts w:ascii="Times New Roman" w:eastAsia="仿宋_GB2312" w:hAnsi="Times New Roman" w:cs="Times New Roman"/>
          <w:color w:val="000000" w:themeColor="text1"/>
        </w:rPr>
        <w:t>亿元，同比增长</w:t>
      </w:r>
      <w:r>
        <w:rPr>
          <w:rFonts w:ascii="Times New Roman" w:eastAsia="仿宋_GB2312" w:hAnsi="Times New Roman" w:cs="Times New Roman"/>
          <w:color w:val="000000" w:themeColor="text1"/>
        </w:rPr>
        <w:t>6.5%</w:t>
      </w:r>
      <w:r>
        <w:rPr>
          <w:rFonts w:ascii="Times New Roman" w:eastAsia="仿宋_GB2312" w:hAnsi="Times New Roman" w:cs="Times New Roman"/>
          <w:color w:val="000000" w:themeColor="text1"/>
        </w:rPr>
        <w:t>。</w:t>
      </w:r>
      <w:r>
        <w:rPr>
          <w:rFonts w:ascii="Times New Roman" w:eastAsia="仿宋_GB2312" w:hAnsi="Times New Roman" w:cs="Times New Roman"/>
          <w:b/>
          <w:bCs/>
          <w:color w:val="000000" w:themeColor="text1"/>
        </w:rPr>
        <w:t>二是招商引资工作力度不减。</w:t>
      </w:r>
      <w:r>
        <w:rPr>
          <w:rFonts w:ascii="Times New Roman" w:eastAsia="仿宋_GB2312" w:hAnsi="Times New Roman" w:cs="Times New Roman"/>
          <w:color w:val="000000" w:themeColor="text1"/>
        </w:rPr>
        <w:t>新增入规商贸企业</w:t>
      </w:r>
      <w:r>
        <w:rPr>
          <w:rFonts w:ascii="Times New Roman" w:eastAsia="仿宋_GB2312" w:hAnsi="Times New Roman" w:cs="Times New Roman"/>
          <w:color w:val="000000" w:themeColor="text1"/>
        </w:rPr>
        <w:t>9</w:t>
      </w:r>
      <w:r>
        <w:rPr>
          <w:rFonts w:ascii="Times New Roman" w:eastAsia="仿宋_GB2312" w:hAnsi="Times New Roman" w:cs="Times New Roman"/>
          <w:color w:val="000000" w:themeColor="text1"/>
        </w:rPr>
        <w:t>家，服务业</w:t>
      </w:r>
      <w:r>
        <w:rPr>
          <w:rFonts w:ascii="Times New Roman" w:eastAsia="仿宋_GB2312" w:hAnsi="Times New Roman" w:cs="Times New Roman"/>
          <w:color w:val="000000" w:themeColor="text1"/>
        </w:rPr>
        <w:t>1</w:t>
      </w:r>
      <w:r>
        <w:rPr>
          <w:rFonts w:ascii="Times New Roman" w:eastAsia="仿宋_GB2312" w:hAnsi="Times New Roman" w:cs="Times New Roman"/>
          <w:color w:val="000000" w:themeColor="text1"/>
        </w:rPr>
        <w:t>家，工业企业</w:t>
      </w:r>
      <w:r>
        <w:rPr>
          <w:rFonts w:ascii="Times New Roman" w:eastAsia="仿宋_GB2312" w:hAnsi="Times New Roman" w:cs="Times New Roman"/>
          <w:color w:val="000000" w:themeColor="text1"/>
        </w:rPr>
        <w:t>2</w:t>
      </w:r>
      <w:r>
        <w:rPr>
          <w:rFonts w:ascii="Times New Roman" w:eastAsia="仿宋_GB2312" w:hAnsi="Times New Roman" w:cs="Times New Roman"/>
          <w:color w:val="000000" w:themeColor="text1"/>
        </w:rPr>
        <w:t>家，发展市场主体</w:t>
      </w:r>
      <w:r>
        <w:rPr>
          <w:rFonts w:ascii="Times New Roman" w:eastAsia="仿宋_GB2312" w:hAnsi="Times New Roman" w:cs="Times New Roman"/>
          <w:color w:val="000000" w:themeColor="text1"/>
        </w:rPr>
        <w:t>1267</w:t>
      </w:r>
      <w:r>
        <w:rPr>
          <w:rFonts w:ascii="Times New Roman" w:eastAsia="仿宋_GB2312" w:hAnsi="Times New Roman" w:cs="Times New Roman"/>
          <w:color w:val="000000" w:themeColor="text1"/>
        </w:rPr>
        <w:t>家，完成年度任务的</w:t>
      </w:r>
      <w:r>
        <w:rPr>
          <w:rFonts w:ascii="Times New Roman" w:eastAsia="仿宋_GB2312" w:hAnsi="Times New Roman" w:cs="Times New Roman"/>
          <w:color w:val="000000" w:themeColor="text1"/>
        </w:rPr>
        <w:t>132%</w:t>
      </w:r>
      <w:r>
        <w:rPr>
          <w:rFonts w:ascii="Times New Roman" w:eastAsia="仿宋_GB2312" w:hAnsi="Times New Roman" w:cs="Times New Roman"/>
          <w:color w:val="000000" w:themeColor="text1"/>
        </w:rPr>
        <w:t>。总部经济签约企业</w:t>
      </w:r>
      <w:r>
        <w:rPr>
          <w:rFonts w:ascii="Times New Roman" w:eastAsia="仿宋_GB2312" w:hAnsi="Times New Roman" w:cs="Times New Roman"/>
          <w:color w:val="000000" w:themeColor="text1"/>
        </w:rPr>
        <w:t>4</w:t>
      </w:r>
      <w:r>
        <w:rPr>
          <w:rFonts w:ascii="Times New Roman" w:eastAsia="仿宋_GB2312" w:hAnsi="Times New Roman" w:cs="Times New Roman"/>
          <w:color w:val="000000" w:themeColor="text1"/>
        </w:rPr>
        <w:t>家，新引进产业项目</w:t>
      </w:r>
      <w:r>
        <w:rPr>
          <w:rFonts w:ascii="Times New Roman" w:eastAsia="仿宋_GB2312" w:hAnsi="Times New Roman" w:cs="Times New Roman"/>
          <w:color w:val="000000" w:themeColor="text1"/>
        </w:rPr>
        <w:t>3</w:t>
      </w:r>
      <w:r>
        <w:rPr>
          <w:rFonts w:ascii="Times New Roman" w:eastAsia="仿宋_GB2312" w:hAnsi="Times New Roman" w:cs="Times New Roman"/>
          <w:color w:val="000000" w:themeColor="text1"/>
        </w:rPr>
        <w:t>家，超额完成招商引资任务。</w:t>
      </w:r>
      <w:r>
        <w:rPr>
          <w:rFonts w:ascii="Times New Roman" w:eastAsia="仿宋_GB2312" w:hAnsi="Times New Roman" w:cs="Times New Roman"/>
          <w:b/>
          <w:bCs/>
          <w:color w:val="000000" w:themeColor="text1"/>
        </w:rPr>
        <w:t>三是服务园区发展再上台阶。</w:t>
      </w:r>
      <w:r>
        <w:rPr>
          <w:rFonts w:ascii="Times New Roman" w:eastAsia="仿宋" w:hAnsi="Times New Roman" w:cs="Times New Roman"/>
          <w:color w:val="000000" w:themeColor="text1"/>
        </w:rPr>
        <w:t>全年项目内房屋签约率</w:t>
      </w:r>
      <w:r>
        <w:rPr>
          <w:rFonts w:ascii="Times New Roman" w:eastAsia="仿宋" w:hAnsi="Times New Roman" w:cs="Times New Roman"/>
          <w:color w:val="000000" w:themeColor="text1"/>
        </w:rPr>
        <w:t>100%</w:t>
      </w:r>
      <w:r>
        <w:rPr>
          <w:rFonts w:ascii="Times New Roman" w:eastAsia="仿宋" w:hAnsi="Times New Roman" w:cs="Times New Roman"/>
          <w:color w:val="000000" w:themeColor="text1"/>
        </w:rPr>
        <w:t>，房屋倒地率</w:t>
      </w:r>
      <w:r>
        <w:rPr>
          <w:rFonts w:ascii="Times New Roman" w:eastAsia="仿宋" w:hAnsi="Times New Roman" w:cs="Times New Roman"/>
          <w:color w:val="000000" w:themeColor="text1"/>
        </w:rPr>
        <w:t>100%</w:t>
      </w:r>
      <w:r>
        <w:rPr>
          <w:rFonts w:ascii="Times New Roman" w:eastAsia="仿宋" w:hAnsi="Times New Roman" w:cs="Times New Roman"/>
          <w:color w:val="000000" w:themeColor="text1"/>
        </w:rPr>
        <w:t>。全年累计完成</w:t>
      </w:r>
      <w:r>
        <w:rPr>
          <w:rFonts w:ascii="Times New Roman" w:eastAsia="仿宋" w:hAnsi="Times New Roman" w:cs="Times New Roman"/>
          <w:color w:val="000000" w:themeColor="text1"/>
        </w:rPr>
        <w:t>145</w:t>
      </w:r>
      <w:r>
        <w:rPr>
          <w:rFonts w:ascii="Times New Roman" w:eastAsia="仿宋" w:hAnsi="Times New Roman" w:cs="Times New Roman"/>
          <w:color w:val="000000" w:themeColor="text1"/>
        </w:rPr>
        <w:t>栋</w:t>
      </w:r>
      <w:r>
        <w:rPr>
          <w:rFonts w:ascii="Times New Roman" w:eastAsia="仿宋" w:hAnsi="Times New Roman" w:cs="Times New Roman"/>
          <w:color w:val="000000" w:themeColor="text1"/>
        </w:rPr>
        <w:t>228</w:t>
      </w:r>
      <w:r>
        <w:rPr>
          <w:rFonts w:ascii="Times New Roman" w:eastAsia="仿宋" w:hAnsi="Times New Roman" w:cs="Times New Roman"/>
          <w:color w:val="000000" w:themeColor="text1"/>
        </w:rPr>
        <w:t>户房屋协议拆迁</w:t>
      </w:r>
      <w:r>
        <w:rPr>
          <w:rFonts w:ascii="Times New Roman" w:eastAsia="仿宋_GB2312" w:hAnsi="Times New Roman" w:cs="Times New Roman"/>
          <w:color w:val="000000" w:themeColor="text1"/>
        </w:rPr>
        <w:t>，全力保障绿色产品产业园等</w:t>
      </w:r>
      <w:r>
        <w:rPr>
          <w:rFonts w:ascii="Times New Roman" w:eastAsia="仿宋_GB2312" w:hAnsi="Times New Roman" w:cs="Times New Roman"/>
          <w:color w:val="000000" w:themeColor="text1"/>
        </w:rPr>
        <w:t>7</w:t>
      </w:r>
      <w:r>
        <w:rPr>
          <w:rFonts w:ascii="Times New Roman" w:eastAsia="仿宋_GB2312" w:hAnsi="Times New Roman" w:cs="Times New Roman"/>
          <w:color w:val="000000" w:themeColor="text1"/>
        </w:rPr>
        <w:t>个项目的征拆工作如期完成，</w:t>
      </w:r>
      <w:r>
        <w:rPr>
          <w:rFonts w:ascii="Times New Roman" w:eastAsia="仿宋_GB2312" w:hAnsi="Times New Roman" w:cs="Times New Roman"/>
          <w:color w:val="000000" w:themeColor="text1"/>
        </w:rPr>
        <w:t>3</w:t>
      </w:r>
      <w:r>
        <w:rPr>
          <w:rFonts w:ascii="Times New Roman" w:eastAsia="仿宋_GB2312" w:hAnsi="Times New Roman" w:cs="Times New Roman"/>
          <w:color w:val="000000" w:themeColor="text1"/>
        </w:rPr>
        <w:t>天</w:t>
      </w:r>
      <w:r>
        <w:rPr>
          <w:rFonts w:ascii="Times New Roman" w:eastAsia="仿宋_GB2312" w:hAnsi="Times New Roman" w:cs="Times New Roman"/>
          <w:color w:val="000000" w:themeColor="text1"/>
        </w:rPr>
        <w:t>2</w:t>
      </w:r>
      <w:r>
        <w:rPr>
          <w:rFonts w:ascii="Times New Roman" w:eastAsia="仿宋_GB2312" w:hAnsi="Times New Roman" w:cs="Times New Roman"/>
          <w:color w:val="000000" w:themeColor="text1"/>
        </w:rPr>
        <w:t>晚实现中伟三期项目房屋全部签约倒地，再次刷新征拆工作城郊速度。全年上门走访企业</w:t>
      </w:r>
      <w:r>
        <w:rPr>
          <w:rFonts w:ascii="Times New Roman" w:eastAsia="仿宋_GB2312" w:hAnsi="Times New Roman" w:cs="Times New Roman"/>
          <w:color w:val="000000" w:themeColor="text1"/>
        </w:rPr>
        <w:t>80</w:t>
      </w:r>
      <w:r>
        <w:rPr>
          <w:rFonts w:ascii="Times New Roman" w:eastAsia="仿宋_GB2312" w:hAnsi="Times New Roman" w:cs="Times New Roman"/>
          <w:color w:val="000000" w:themeColor="text1"/>
        </w:rPr>
        <w:t>余家，帮助</w:t>
      </w:r>
      <w:r>
        <w:rPr>
          <w:rFonts w:ascii="Times New Roman" w:eastAsia="仿宋_GB2312" w:hAnsi="Times New Roman" w:cs="Times New Roman"/>
          <w:color w:val="000000" w:themeColor="text1"/>
        </w:rPr>
        <w:t>20</w:t>
      </w:r>
      <w:r>
        <w:rPr>
          <w:rFonts w:ascii="Times New Roman" w:eastAsia="仿宋_GB2312" w:hAnsi="Times New Roman" w:cs="Times New Roman"/>
          <w:color w:val="000000" w:themeColor="text1"/>
        </w:rPr>
        <w:t>余家企业申请了相关奖扶资金，</w:t>
      </w:r>
      <w:r>
        <w:rPr>
          <w:rFonts w:ascii="Times New Roman" w:eastAsia="仿宋_GB2312" w:hAnsi="Times New Roman" w:cs="Times New Roman" w:hint="eastAsia"/>
          <w:color w:val="000000" w:themeColor="text1"/>
        </w:rPr>
        <w:t>全力做好企业服务</w:t>
      </w:r>
      <w:r>
        <w:rPr>
          <w:rFonts w:ascii="Times New Roman" w:eastAsia="仿宋_GB2312" w:hAnsi="Times New Roman" w:cs="Times New Roman"/>
          <w:color w:val="000000" w:themeColor="text1"/>
        </w:rPr>
        <w:t>。</w:t>
      </w:r>
    </w:p>
    <w:p w:rsidR="005A7EA0" w:rsidRDefault="005A7EA0" w:rsidP="005A7EA0">
      <w:pPr>
        <w:spacing w:line="576" w:lineRule="exact"/>
        <w:ind w:firstLineChars="200" w:firstLine="643"/>
        <w:rPr>
          <w:rFonts w:ascii="Times New Roman" w:eastAsia="仿宋_GB2312" w:hAnsi="Times New Roman" w:cs="Times New Roman"/>
          <w:b/>
          <w:bCs/>
          <w:color w:val="000000" w:themeColor="text1"/>
        </w:rPr>
      </w:pPr>
      <w:r>
        <w:rPr>
          <w:rFonts w:ascii="Times New Roman" w:eastAsia="仿宋_GB2312" w:hAnsi="Times New Roman" w:cs="Times New Roman" w:hint="eastAsia"/>
          <w:b/>
          <w:bCs/>
          <w:color w:val="000000" w:themeColor="text1"/>
        </w:rPr>
        <w:t>（三）</w:t>
      </w:r>
      <w:r>
        <w:rPr>
          <w:rFonts w:ascii="Times New Roman" w:eastAsia="仿宋_GB2312" w:hAnsi="Times New Roman" w:cs="Times New Roman"/>
          <w:b/>
          <w:bCs/>
          <w:color w:val="000000" w:themeColor="text1"/>
        </w:rPr>
        <w:t>一如既往惠民生，焕发社会治理更大活力。</w:t>
      </w:r>
    </w:p>
    <w:p w:rsidR="005A7EA0" w:rsidRDefault="005A7EA0" w:rsidP="005A7EA0">
      <w:pPr>
        <w:spacing w:line="576" w:lineRule="exact"/>
        <w:ind w:firstLineChars="200" w:firstLine="643"/>
        <w:rPr>
          <w:rFonts w:ascii="Times New Roman" w:eastAsia="仿宋_GB2312" w:hAnsi="Times New Roman" w:cs="Times New Roman"/>
          <w:color w:val="000000" w:themeColor="text1"/>
        </w:rPr>
      </w:pPr>
      <w:r>
        <w:rPr>
          <w:rFonts w:ascii="Times New Roman" w:eastAsia="仿宋_GB2312" w:hAnsi="Times New Roman" w:cs="Times New Roman"/>
          <w:b/>
          <w:bCs/>
          <w:color w:val="000000" w:themeColor="text1"/>
        </w:rPr>
        <w:t>一是疫情防控全面落实。</w:t>
      </w:r>
      <w:r>
        <w:rPr>
          <w:rFonts w:ascii="Times New Roman" w:eastAsia="仿宋_GB2312" w:hAnsi="Times New Roman" w:cs="Times New Roman"/>
          <w:color w:val="000000" w:themeColor="text1"/>
        </w:rPr>
        <w:t>扛牢疫情防控责任，严把高速路口、火车站两个重要卡口，街道域内</w:t>
      </w:r>
      <w:r>
        <w:rPr>
          <w:rFonts w:ascii="Times New Roman" w:eastAsia="仿宋_GB2312" w:hAnsi="Times New Roman" w:cs="Times New Roman"/>
          <w:color w:val="000000" w:themeColor="text1"/>
        </w:rPr>
        <w:t>18</w:t>
      </w:r>
      <w:r>
        <w:rPr>
          <w:rFonts w:ascii="Times New Roman" w:eastAsia="仿宋_GB2312" w:hAnsi="Times New Roman" w:cs="Times New Roman"/>
          <w:color w:val="000000" w:themeColor="text1"/>
        </w:rPr>
        <w:t>岁以上人群接种疫苗</w:t>
      </w:r>
      <w:r>
        <w:rPr>
          <w:rFonts w:ascii="Times New Roman" w:eastAsia="仿宋_GB2312" w:hAnsi="Times New Roman" w:cs="Times New Roman"/>
          <w:color w:val="000000" w:themeColor="text1"/>
        </w:rPr>
        <w:t>27.4186</w:t>
      </w:r>
      <w:r>
        <w:rPr>
          <w:rFonts w:ascii="Times New Roman" w:eastAsia="仿宋_GB2312" w:hAnsi="Times New Roman" w:cs="Times New Roman"/>
          <w:color w:val="000000" w:themeColor="text1"/>
        </w:rPr>
        <w:t>万人次，</w:t>
      </w:r>
      <w:r>
        <w:rPr>
          <w:rFonts w:ascii="Times New Roman" w:eastAsia="仿宋_GB2312" w:hAnsi="Times New Roman" w:cs="Times New Roman" w:hint="eastAsia"/>
          <w:color w:val="000000" w:themeColor="text1"/>
        </w:rPr>
        <w:t>全年共完成大数据排查</w:t>
      </w:r>
      <w:r>
        <w:rPr>
          <w:rFonts w:ascii="Times New Roman" w:eastAsia="仿宋_GB2312" w:hAnsi="Times New Roman" w:cs="Times New Roman" w:hint="eastAsia"/>
          <w:color w:val="000000" w:themeColor="text1"/>
        </w:rPr>
        <w:t>6</w:t>
      </w:r>
      <w:r>
        <w:rPr>
          <w:rFonts w:ascii="Times New Roman" w:eastAsia="仿宋_GB2312" w:hAnsi="Times New Roman" w:cs="Times New Roman" w:hint="eastAsia"/>
          <w:color w:val="000000" w:themeColor="text1"/>
        </w:rPr>
        <w:t>万多条，占全市的</w:t>
      </w:r>
      <w:r>
        <w:rPr>
          <w:rFonts w:ascii="Times New Roman" w:eastAsia="仿宋_GB2312" w:hAnsi="Times New Roman" w:cs="Times New Roman" w:hint="eastAsia"/>
          <w:color w:val="000000" w:themeColor="text1"/>
        </w:rPr>
        <w:t>1/5</w:t>
      </w:r>
      <w:r>
        <w:rPr>
          <w:rFonts w:ascii="Times New Roman" w:eastAsia="仿宋_GB2312" w:hAnsi="Times New Roman" w:cs="Times New Roman" w:hint="eastAsia"/>
          <w:color w:val="000000" w:themeColor="text1"/>
        </w:rPr>
        <w:t>，完成</w:t>
      </w:r>
      <w:r>
        <w:rPr>
          <w:rFonts w:ascii="Times New Roman" w:eastAsia="仿宋_GB2312" w:hAnsi="Times New Roman" w:cs="Times New Roman" w:hint="eastAsia"/>
          <w:color w:val="000000" w:themeColor="text1"/>
        </w:rPr>
        <w:t>3</w:t>
      </w:r>
      <w:r>
        <w:rPr>
          <w:rFonts w:ascii="Times New Roman" w:eastAsia="仿宋_GB2312" w:hAnsi="Times New Roman" w:cs="Times New Roman" w:hint="eastAsia"/>
          <w:color w:val="000000" w:themeColor="text1"/>
        </w:rPr>
        <w:t>次突发疫情的处置管控工作，均没有发生第二代病例</w:t>
      </w:r>
      <w:r>
        <w:rPr>
          <w:rFonts w:ascii="Times New Roman" w:eastAsia="仿宋_GB2312" w:hAnsi="Times New Roman" w:cs="Times New Roman"/>
          <w:color w:val="000000" w:themeColor="text1"/>
        </w:rPr>
        <w:t>。</w:t>
      </w:r>
      <w:r>
        <w:rPr>
          <w:rFonts w:ascii="Times New Roman" w:eastAsia="仿宋_GB2312" w:hAnsi="Times New Roman" w:cs="Times New Roman" w:hint="eastAsia"/>
          <w:b/>
          <w:bCs/>
          <w:color w:val="000000" w:themeColor="text1"/>
        </w:rPr>
        <w:t>二</w:t>
      </w:r>
      <w:r>
        <w:rPr>
          <w:rFonts w:ascii="Times New Roman" w:eastAsia="仿宋_GB2312" w:hAnsi="Times New Roman" w:cs="Times New Roman"/>
          <w:b/>
          <w:bCs/>
          <w:color w:val="000000" w:themeColor="text1"/>
        </w:rPr>
        <w:t>是民生实事办好办细。</w:t>
      </w:r>
      <w:r>
        <w:rPr>
          <w:rFonts w:ascii="Times New Roman" w:eastAsia="仿宋_GB2312" w:hAnsi="Times New Roman" w:cs="Times New Roman"/>
          <w:color w:val="000000" w:themeColor="text1"/>
        </w:rPr>
        <w:t>累计发放低保、临时救助、大病救助、残疾人补助等</w:t>
      </w:r>
      <w:r>
        <w:rPr>
          <w:rFonts w:ascii="Times New Roman" w:eastAsia="仿宋_GB2312" w:hAnsi="Times New Roman" w:cs="Times New Roman"/>
          <w:color w:val="000000" w:themeColor="text1"/>
        </w:rPr>
        <w:t>173</w:t>
      </w:r>
      <w:r>
        <w:rPr>
          <w:rFonts w:ascii="Times New Roman" w:eastAsia="仿宋_GB2312" w:hAnsi="Times New Roman" w:cs="Times New Roman"/>
          <w:color w:val="000000" w:themeColor="text1"/>
        </w:rPr>
        <w:t>万余元。全年组织培训失地农民</w:t>
      </w:r>
      <w:r>
        <w:rPr>
          <w:rFonts w:ascii="Times New Roman" w:eastAsia="仿宋_GB2312" w:hAnsi="Times New Roman" w:cs="Times New Roman"/>
          <w:color w:val="000000" w:themeColor="text1"/>
        </w:rPr>
        <w:t>300</w:t>
      </w:r>
      <w:r>
        <w:rPr>
          <w:rFonts w:ascii="Times New Roman" w:eastAsia="仿宋_GB2312" w:hAnsi="Times New Roman" w:cs="Times New Roman"/>
          <w:color w:val="000000" w:themeColor="text1"/>
        </w:rPr>
        <w:t>余人，创业培训</w:t>
      </w:r>
      <w:r>
        <w:rPr>
          <w:rFonts w:ascii="Times New Roman" w:eastAsia="仿宋_GB2312" w:hAnsi="Times New Roman" w:cs="Times New Roman"/>
          <w:color w:val="000000" w:themeColor="text1"/>
        </w:rPr>
        <w:t>60</w:t>
      </w:r>
      <w:r>
        <w:rPr>
          <w:rFonts w:ascii="Times New Roman" w:eastAsia="仿宋_GB2312" w:hAnsi="Times New Roman" w:cs="Times New Roman"/>
          <w:color w:val="000000" w:themeColor="text1"/>
        </w:rPr>
        <w:t>人，对</w:t>
      </w:r>
      <w:r>
        <w:rPr>
          <w:rFonts w:ascii="Times New Roman" w:eastAsia="仿宋_GB2312" w:hAnsi="Times New Roman" w:cs="Times New Roman"/>
          <w:color w:val="000000" w:themeColor="text1"/>
        </w:rPr>
        <w:t>487</w:t>
      </w:r>
      <w:r>
        <w:rPr>
          <w:rFonts w:ascii="Times New Roman" w:eastAsia="仿宋_GB2312" w:hAnsi="Times New Roman" w:cs="Times New Roman"/>
          <w:color w:val="000000" w:themeColor="text1"/>
        </w:rPr>
        <w:t>名失业人员进行有效管理，办理创业证</w:t>
      </w:r>
      <w:r>
        <w:rPr>
          <w:rFonts w:ascii="Times New Roman" w:eastAsia="仿宋_GB2312" w:hAnsi="Times New Roman" w:cs="Times New Roman"/>
          <w:color w:val="000000" w:themeColor="text1"/>
        </w:rPr>
        <w:t>227</w:t>
      </w:r>
      <w:r>
        <w:rPr>
          <w:rFonts w:ascii="Times New Roman" w:eastAsia="仿宋_GB2312" w:hAnsi="Times New Roman" w:cs="Times New Roman"/>
          <w:color w:val="000000" w:themeColor="text1"/>
        </w:rPr>
        <w:t>人，</w:t>
      </w:r>
      <w:r>
        <w:rPr>
          <w:rFonts w:ascii="Times New Roman" w:eastAsia="仿宋_GB2312" w:hAnsi="Times New Roman" w:cs="Times New Roman"/>
          <w:color w:val="000000" w:themeColor="text1"/>
        </w:rPr>
        <w:lastRenderedPageBreak/>
        <w:t>切实解决群众生活就业难题。</w:t>
      </w:r>
      <w:r>
        <w:rPr>
          <w:rFonts w:ascii="Times New Roman" w:eastAsia="仿宋_GB2312" w:hAnsi="Times New Roman" w:cs="Times New Roman" w:hint="eastAsia"/>
          <w:color w:val="000000" w:themeColor="text1"/>
        </w:rPr>
        <w:t>办理</w:t>
      </w:r>
      <w:r>
        <w:rPr>
          <w:rFonts w:ascii="Times New Roman" w:eastAsia="仿宋_GB2312" w:hAnsi="Times New Roman" w:cs="Times New Roman" w:hint="eastAsia"/>
          <w:color w:val="000000" w:themeColor="text1"/>
        </w:rPr>
        <w:t>12345</w:t>
      </w:r>
      <w:r>
        <w:rPr>
          <w:rFonts w:ascii="Times New Roman" w:eastAsia="仿宋_GB2312" w:hAnsi="Times New Roman" w:cs="Times New Roman" w:hint="eastAsia"/>
          <w:color w:val="000000" w:themeColor="text1"/>
        </w:rPr>
        <w:t>政务热线</w:t>
      </w:r>
      <w:r>
        <w:rPr>
          <w:rFonts w:ascii="Times New Roman" w:eastAsia="仿宋_GB2312" w:hAnsi="Times New Roman" w:cs="Times New Roman"/>
          <w:color w:val="000000" w:themeColor="text1"/>
        </w:rPr>
        <w:t>工单</w:t>
      </w:r>
      <w:r>
        <w:rPr>
          <w:rFonts w:ascii="Times New Roman" w:eastAsia="仿宋_GB2312" w:hAnsi="Times New Roman" w:cs="Times New Roman" w:hint="eastAsia"/>
          <w:color w:val="000000" w:themeColor="text1"/>
        </w:rPr>
        <w:t>575</w:t>
      </w:r>
      <w:r>
        <w:rPr>
          <w:rFonts w:ascii="Times New Roman" w:eastAsia="仿宋_GB2312" w:hAnsi="Times New Roman" w:cs="Times New Roman" w:hint="eastAsia"/>
          <w:color w:val="000000" w:themeColor="text1"/>
        </w:rPr>
        <w:t>件，工单受理率、办结率、满意率均达到</w:t>
      </w:r>
      <w:r>
        <w:rPr>
          <w:rFonts w:ascii="Times New Roman" w:eastAsia="仿宋_GB2312" w:hAnsi="Times New Roman" w:cs="Times New Roman" w:hint="eastAsia"/>
          <w:color w:val="000000" w:themeColor="text1"/>
        </w:rPr>
        <w:t>100%</w:t>
      </w:r>
      <w:r>
        <w:rPr>
          <w:rFonts w:ascii="Times New Roman" w:eastAsia="仿宋_GB2312" w:hAnsi="Times New Roman" w:cs="Times New Roman" w:hint="eastAsia"/>
          <w:color w:val="000000" w:themeColor="text1"/>
        </w:rPr>
        <w:t>，</w:t>
      </w:r>
      <w:r>
        <w:rPr>
          <w:rFonts w:ascii="Times New Roman" w:eastAsia="仿宋_GB2312" w:hAnsi="Times New Roman" w:cs="Times New Roman"/>
          <w:color w:val="000000" w:themeColor="text1"/>
        </w:rPr>
        <w:t>完成</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帮代办</w:t>
      </w:r>
      <w:r>
        <w:rPr>
          <w:rFonts w:ascii="Times New Roman" w:eastAsia="仿宋_GB2312" w:hAnsi="Times New Roman" w:cs="Times New Roman"/>
          <w:color w:val="000000" w:themeColor="text1"/>
        </w:rPr>
        <w:t>”65</w:t>
      </w:r>
      <w:r>
        <w:rPr>
          <w:rFonts w:ascii="Times New Roman" w:eastAsia="仿宋_GB2312" w:hAnsi="Times New Roman" w:cs="Times New Roman"/>
          <w:color w:val="000000" w:themeColor="text1"/>
        </w:rPr>
        <w:t>项</w:t>
      </w:r>
      <w:r>
        <w:rPr>
          <w:rFonts w:ascii="Times New Roman" w:eastAsia="仿宋_GB2312" w:hAnsi="Times New Roman" w:cs="Times New Roman"/>
          <w:color w:val="000000" w:themeColor="text1"/>
        </w:rPr>
        <w:t>1576</w:t>
      </w:r>
      <w:r>
        <w:rPr>
          <w:rFonts w:ascii="Times New Roman" w:eastAsia="仿宋_GB2312" w:hAnsi="Times New Roman" w:cs="Times New Roman"/>
          <w:color w:val="000000" w:themeColor="text1"/>
        </w:rPr>
        <w:t>件业务，</w:t>
      </w:r>
      <w:r>
        <w:rPr>
          <w:rFonts w:ascii="Times New Roman" w:eastAsia="仿宋_GB2312" w:hAnsi="Times New Roman" w:cs="Times New Roman" w:hint="eastAsia"/>
          <w:color w:val="000000" w:themeColor="text1"/>
        </w:rPr>
        <w:t>街道</w:t>
      </w:r>
      <w:r>
        <w:rPr>
          <w:rFonts w:ascii="Times New Roman" w:eastAsia="仿宋_GB2312" w:hAnsi="Times New Roman" w:cs="Times New Roman"/>
          <w:color w:val="000000" w:themeColor="text1"/>
        </w:rPr>
        <w:t>被评选为宁乡市政务服务</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红旗窗口</w:t>
      </w:r>
      <w:r>
        <w:rPr>
          <w:rFonts w:ascii="Times New Roman" w:eastAsia="仿宋_GB2312" w:hAnsi="Times New Roman" w:cs="Times New Roman"/>
          <w:color w:val="000000" w:themeColor="text1"/>
        </w:rPr>
        <w:t>”</w:t>
      </w:r>
      <w:r>
        <w:rPr>
          <w:rFonts w:ascii="Times New Roman" w:eastAsia="仿宋_GB2312" w:hAnsi="Times New Roman" w:cs="Times New Roman" w:hint="eastAsia"/>
          <w:color w:val="000000" w:themeColor="text1"/>
        </w:rPr>
        <w:t>。</w:t>
      </w:r>
      <w:r>
        <w:rPr>
          <w:rFonts w:ascii="Times New Roman" w:eastAsia="仿宋_GB2312" w:hAnsi="Times New Roman" w:cs="Times New Roman" w:hint="eastAsia"/>
          <w:b/>
          <w:bCs/>
          <w:color w:val="000000" w:themeColor="text1"/>
        </w:rPr>
        <w:t>三是脱贫基础更加稳固。</w:t>
      </w:r>
      <w:r>
        <w:rPr>
          <w:rFonts w:ascii="Times New Roman" w:eastAsia="仿宋_GB2312" w:hAnsi="Times New Roman" w:cs="Times New Roman"/>
          <w:color w:val="000000" w:themeColor="text1"/>
        </w:rPr>
        <w:t>全年两次对街道</w:t>
      </w:r>
      <w:r>
        <w:rPr>
          <w:rFonts w:ascii="Times New Roman" w:eastAsia="仿宋_GB2312" w:hAnsi="Times New Roman" w:cs="Times New Roman"/>
          <w:color w:val="000000" w:themeColor="text1"/>
        </w:rPr>
        <w:t>1475</w:t>
      </w:r>
      <w:r>
        <w:rPr>
          <w:rFonts w:ascii="Times New Roman" w:eastAsia="仿宋_GB2312" w:hAnsi="Times New Roman" w:cs="Times New Roman"/>
          <w:color w:val="000000" w:themeColor="text1"/>
        </w:rPr>
        <w:t>户农户进行</w:t>
      </w:r>
      <w:r>
        <w:rPr>
          <w:rFonts w:ascii="Times New Roman" w:eastAsia="仿宋_GB2312" w:hAnsi="Times New Roman" w:cs="Times New Roman" w:hint="eastAsia"/>
          <w:color w:val="000000" w:themeColor="text1"/>
        </w:rPr>
        <w:t>情况摸排</w:t>
      </w:r>
      <w:r>
        <w:rPr>
          <w:rFonts w:ascii="Times New Roman" w:eastAsia="仿宋_GB2312" w:hAnsi="Times New Roman" w:cs="Times New Roman"/>
          <w:color w:val="000000" w:themeColor="text1"/>
        </w:rPr>
        <w:t>，坚决守住</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两不愁三保障</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和饮水安全底线。对全街道</w:t>
      </w:r>
      <w:r>
        <w:rPr>
          <w:rFonts w:ascii="Times New Roman" w:eastAsia="仿宋_GB2312" w:hAnsi="Times New Roman" w:cs="Times New Roman"/>
          <w:color w:val="000000" w:themeColor="text1"/>
        </w:rPr>
        <w:t>132</w:t>
      </w:r>
      <w:r>
        <w:rPr>
          <w:rFonts w:ascii="Times New Roman" w:eastAsia="仿宋_GB2312" w:hAnsi="Times New Roman" w:cs="Times New Roman"/>
          <w:color w:val="000000" w:themeColor="text1"/>
        </w:rPr>
        <w:t>户脱贫户、监测户安排帮扶责任人，</w:t>
      </w:r>
      <w:r>
        <w:rPr>
          <w:rFonts w:ascii="Times New Roman" w:eastAsia="仿宋_GB2312" w:hAnsi="Times New Roman" w:cs="Times New Roman" w:hint="eastAsia"/>
          <w:color w:val="000000" w:themeColor="text1"/>
        </w:rPr>
        <w:t>完成</w:t>
      </w:r>
      <w:r>
        <w:rPr>
          <w:rFonts w:ascii="Times New Roman" w:eastAsia="仿宋_GB2312" w:hAnsi="Times New Roman" w:cs="Times New Roman"/>
          <w:color w:val="000000" w:themeColor="text1"/>
        </w:rPr>
        <w:t>监测户每月</w:t>
      </w:r>
      <w:r>
        <w:rPr>
          <w:rFonts w:ascii="Times New Roman" w:eastAsia="仿宋_GB2312" w:hAnsi="Times New Roman" w:cs="Times New Roman" w:hint="eastAsia"/>
          <w:color w:val="000000" w:themeColor="text1"/>
        </w:rPr>
        <w:t>、</w:t>
      </w:r>
      <w:r>
        <w:rPr>
          <w:rFonts w:ascii="Times New Roman" w:eastAsia="仿宋_GB2312" w:hAnsi="Times New Roman" w:cs="Times New Roman"/>
          <w:color w:val="000000" w:themeColor="text1"/>
        </w:rPr>
        <w:t>脱贫户每季度进行走访。高标准完成</w:t>
      </w:r>
      <w:r>
        <w:rPr>
          <w:rFonts w:ascii="Times New Roman" w:eastAsia="仿宋_GB2312" w:hAnsi="Times New Roman" w:cs="Times New Roman"/>
          <w:color w:val="000000" w:themeColor="text1"/>
        </w:rPr>
        <w:t>112</w:t>
      </w:r>
      <w:r>
        <w:rPr>
          <w:rFonts w:ascii="Times New Roman" w:eastAsia="仿宋_GB2312" w:hAnsi="Times New Roman" w:cs="Times New Roman"/>
          <w:color w:val="000000" w:themeColor="text1"/>
        </w:rPr>
        <w:t>亩耕地的复耕任务，有序推进田长制工作，牢守耕地红线。街道级河长巡河完成率</w:t>
      </w:r>
      <w:r>
        <w:rPr>
          <w:rFonts w:ascii="Times New Roman" w:eastAsia="仿宋_GB2312" w:hAnsi="Times New Roman" w:cs="Times New Roman"/>
          <w:color w:val="000000" w:themeColor="text1"/>
        </w:rPr>
        <w:t>100%</w:t>
      </w:r>
      <w:r>
        <w:rPr>
          <w:rFonts w:ascii="Times New Roman" w:eastAsia="仿宋_GB2312" w:hAnsi="Times New Roman" w:cs="Times New Roman"/>
          <w:color w:val="000000" w:themeColor="text1"/>
        </w:rPr>
        <w:t>。全力巩固脱贫成果同乡村振兴有效衔接。</w:t>
      </w:r>
      <w:r>
        <w:rPr>
          <w:rFonts w:ascii="Times New Roman" w:eastAsia="仿宋_GB2312" w:hAnsi="Times New Roman" w:cs="Times New Roman" w:hint="eastAsia"/>
          <w:b/>
          <w:bCs/>
          <w:color w:val="000000" w:themeColor="text1"/>
        </w:rPr>
        <w:t>四是文化教育争先创优。</w:t>
      </w:r>
      <w:r>
        <w:rPr>
          <w:rFonts w:ascii="Times New Roman" w:eastAsia="仿宋_GB2312" w:hAnsi="Times New Roman" w:cs="Times New Roman"/>
          <w:color w:val="000000" w:themeColor="text1"/>
        </w:rPr>
        <w:t>开展</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新时代好少年、强国有我</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主题教育活动，共</w:t>
      </w:r>
      <w:r>
        <w:rPr>
          <w:rFonts w:ascii="Times New Roman" w:eastAsia="仿宋_GB2312" w:hAnsi="Times New Roman" w:cs="Times New Roman"/>
          <w:color w:val="000000" w:themeColor="text1"/>
        </w:rPr>
        <w:t>31</w:t>
      </w:r>
      <w:r>
        <w:rPr>
          <w:rFonts w:ascii="Times New Roman" w:eastAsia="仿宋_GB2312" w:hAnsi="Times New Roman" w:cs="Times New Roman"/>
          <w:color w:val="000000" w:themeColor="text1"/>
        </w:rPr>
        <w:t>人次获长沙市级奖励，城郊中小获评长沙市优秀组织奖</w:t>
      </w:r>
      <w:r>
        <w:rPr>
          <w:rFonts w:ascii="Times New Roman" w:eastAsia="仿宋_GB2312" w:hAnsi="Times New Roman" w:cs="Times New Roman" w:hint="eastAsia"/>
          <w:color w:val="000000" w:themeColor="text1"/>
        </w:rPr>
        <w:t>；开展“扫黄打非护苗</w:t>
      </w:r>
      <w:r>
        <w:rPr>
          <w:rFonts w:ascii="Times New Roman" w:eastAsia="仿宋_GB2312" w:hAnsi="Times New Roman" w:cs="Times New Roman" w:hint="eastAsia"/>
          <w:color w:val="000000" w:themeColor="text1"/>
        </w:rPr>
        <w:t>2022</w:t>
      </w:r>
      <w:r>
        <w:rPr>
          <w:rFonts w:ascii="Times New Roman" w:eastAsia="仿宋_GB2312" w:hAnsi="Times New Roman" w:cs="Times New Roman" w:hint="eastAsia"/>
          <w:color w:val="000000" w:themeColor="text1"/>
        </w:rPr>
        <w:t>”、“书香宁乡美好时光”亲子读书会等文化活动，组织送戏下乡惠民演出</w:t>
      </w:r>
      <w:r>
        <w:rPr>
          <w:rFonts w:ascii="Times New Roman" w:eastAsia="仿宋_GB2312" w:hAnsi="Times New Roman" w:cs="Times New Roman" w:hint="eastAsia"/>
          <w:color w:val="000000" w:themeColor="text1"/>
        </w:rPr>
        <w:t>8</w:t>
      </w:r>
      <w:r>
        <w:rPr>
          <w:rFonts w:ascii="Times New Roman" w:eastAsia="仿宋_GB2312" w:hAnsi="Times New Roman" w:cs="Times New Roman" w:hint="eastAsia"/>
          <w:color w:val="000000" w:themeColor="text1"/>
        </w:rPr>
        <w:t>场；基地校小学毕业会考、中考等</w:t>
      </w:r>
      <w:r>
        <w:rPr>
          <w:rFonts w:ascii="Times New Roman" w:eastAsia="仿宋_GB2312" w:hAnsi="Times New Roman" w:cs="Times New Roman"/>
          <w:color w:val="000000" w:themeColor="text1"/>
        </w:rPr>
        <w:t>教学成绩</w:t>
      </w:r>
      <w:r>
        <w:rPr>
          <w:rFonts w:ascii="Times New Roman" w:eastAsia="仿宋_GB2312" w:hAnsi="Times New Roman" w:cs="Times New Roman" w:hint="eastAsia"/>
          <w:color w:val="000000" w:themeColor="text1"/>
        </w:rPr>
        <w:t>在全市名列前茅；多个学校向上</w:t>
      </w:r>
      <w:r>
        <w:rPr>
          <w:rFonts w:ascii="Times New Roman" w:eastAsia="仿宋_GB2312" w:hAnsi="Times New Roman" w:cs="Times New Roman"/>
          <w:color w:val="000000" w:themeColor="text1"/>
        </w:rPr>
        <w:t>争取资金，</w:t>
      </w:r>
      <w:r>
        <w:rPr>
          <w:rFonts w:ascii="Times New Roman" w:eastAsia="仿宋_GB2312" w:hAnsi="Times New Roman" w:cs="Times New Roman" w:hint="eastAsia"/>
          <w:color w:val="000000" w:themeColor="text1"/>
        </w:rPr>
        <w:t>对校内</w:t>
      </w:r>
      <w:r>
        <w:rPr>
          <w:rFonts w:ascii="Times New Roman" w:eastAsia="仿宋_GB2312" w:hAnsi="Times New Roman" w:cs="Times New Roman"/>
          <w:color w:val="000000" w:themeColor="text1"/>
        </w:rPr>
        <w:t>直饮水系统管道</w:t>
      </w:r>
      <w:r>
        <w:rPr>
          <w:rFonts w:ascii="Times New Roman" w:eastAsia="仿宋_GB2312" w:hAnsi="Times New Roman" w:cs="Times New Roman" w:hint="eastAsia"/>
          <w:color w:val="000000" w:themeColor="text1"/>
        </w:rPr>
        <w:t>、</w:t>
      </w:r>
      <w:r>
        <w:rPr>
          <w:rFonts w:ascii="Times New Roman" w:eastAsia="仿宋_GB2312" w:hAnsi="Times New Roman" w:cs="Times New Roman"/>
          <w:color w:val="000000" w:themeColor="text1"/>
        </w:rPr>
        <w:t>课桌椅</w:t>
      </w:r>
      <w:r>
        <w:rPr>
          <w:rFonts w:ascii="Times New Roman" w:eastAsia="仿宋_GB2312" w:hAnsi="Times New Roman" w:cs="Times New Roman" w:hint="eastAsia"/>
          <w:color w:val="000000" w:themeColor="text1"/>
        </w:rPr>
        <w:t>等设施设备进行更新更换，教学环境不断改善。</w:t>
      </w:r>
    </w:p>
    <w:p w:rsidR="005A7EA0" w:rsidRDefault="005A7EA0" w:rsidP="005A7EA0">
      <w:pPr>
        <w:spacing w:line="576" w:lineRule="exact"/>
        <w:ind w:firstLineChars="200" w:firstLine="643"/>
        <w:rPr>
          <w:rFonts w:ascii="Times New Roman" w:eastAsia="仿宋_GB2312" w:hAnsi="Times New Roman" w:cs="Times New Roman"/>
          <w:b/>
          <w:bCs/>
          <w:color w:val="000000" w:themeColor="text1"/>
        </w:rPr>
      </w:pPr>
      <w:r>
        <w:rPr>
          <w:rFonts w:ascii="Times New Roman" w:eastAsia="仿宋_GB2312" w:hAnsi="Times New Roman" w:cs="Times New Roman" w:hint="eastAsia"/>
          <w:b/>
          <w:bCs/>
          <w:color w:val="000000" w:themeColor="text1"/>
        </w:rPr>
        <w:t>（四）一招一式促稳定，彰显平安建设更强威力。</w:t>
      </w:r>
    </w:p>
    <w:p w:rsidR="005A7EA0" w:rsidRDefault="005A7EA0" w:rsidP="005A7EA0">
      <w:pPr>
        <w:spacing w:line="576" w:lineRule="exact"/>
        <w:ind w:firstLineChars="200" w:firstLine="643"/>
        <w:rPr>
          <w:rFonts w:ascii="Times New Roman" w:eastAsia="仿宋_GB2312" w:hAnsi="Times New Roman" w:cs="Times New Roman"/>
          <w:b/>
          <w:bCs/>
          <w:color w:val="000000" w:themeColor="text1"/>
        </w:rPr>
      </w:pPr>
      <w:r>
        <w:rPr>
          <w:rFonts w:ascii="Times New Roman" w:eastAsia="仿宋_GB2312" w:hAnsi="Times New Roman" w:cs="Times New Roman" w:hint="eastAsia"/>
          <w:b/>
          <w:bCs/>
          <w:color w:val="000000" w:themeColor="text1"/>
        </w:rPr>
        <w:t>一</w:t>
      </w:r>
      <w:r>
        <w:rPr>
          <w:rFonts w:ascii="Times New Roman" w:eastAsia="仿宋_GB2312" w:hAnsi="Times New Roman" w:cs="Times New Roman"/>
          <w:b/>
          <w:bCs/>
          <w:color w:val="000000" w:themeColor="text1"/>
        </w:rPr>
        <w:t>是平安建设抓牢抓严。</w:t>
      </w:r>
      <w:r>
        <w:rPr>
          <w:rFonts w:ascii="Times New Roman" w:eastAsia="仿宋_GB2312" w:hAnsi="Times New Roman" w:cs="Times New Roman" w:hint="eastAsia"/>
          <w:color w:val="000000" w:themeColor="text1"/>
        </w:rPr>
        <w:t>全年</w:t>
      </w:r>
      <w:r>
        <w:rPr>
          <w:rFonts w:ascii="Times New Roman" w:eastAsia="仿宋_GB2312" w:hAnsi="Times New Roman" w:cs="Times New Roman" w:hint="eastAsia"/>
          <w:color w:val="000000" w:themeColor="text1"/>
          <w:lang w:val="zh-CN"/>
        </w:rPr>
        <w:t>调处矛盾纠纷</w:t>
      </w:r>
      <w:r>
        <w:rPr>
          <w:rFonts w:ascii="Times New Roman" w:eastAsia="仿宋_GB2312" w:hAnsi="Times New Roman" w:cs="Times New Roman" w:hint="eastAsia"/>
          <w:color w:val="000000" w:themeColor="text1"/>
        </w:rPr>
        <w:t>496</w:t>
      </w:r>
      <w:r>
        <w:rPr>
          <w:rFonts w:ascii="Times New Roman" w:eastAsia="仿宋_GB2312" w:hAnsi="Times New Roman" w:cs="Times New Roman" w:hint="eastAsia"/>
          <w:color w:val="000000" w:themeColor="text1"/>
        </w:rPr>
        <w:t>件，涉案金额达</w:t>
      </w:r>
      <w:r>
        <w:rPr>
          <w:rFonts w:ascii="Times New Roman" w:eastAsia="仿宋_GB2312" w:hAnsi="Times New Roman" w:cs="Times New Roman" w:hint="eastAsia"/>
          <w:color w:val="000000" w:themeColor="text1"/>
        </w:rPr>
        <w:t>1678</w:t>
      </w:r>
      <w:r>
        <w:rPr>
          <w:rFonts w:ascii="Times New Roman" w:eastAsia="仿宋_GB2312" w:hAnsi="Times New Roman" w:cs="Times New Roman" w:hint="eastAsia"/>
          <w:color w:val="000000" w:themeColor="text1"/>
        </w:rPr>
        <w:t>万元，调解成功率达</w:t>
      </w:r>
      <w:r>
        <w:rPr>
          <w:rFonts w:ascii="Times New Roman" w:eastAsia="仿宋_GB2312" w:hAnsi="Times New Roman" w:cs="Times New Roman" w:hint="eastAsia"/>
          <w:color w:val="000000" w:themeColor="text1"/>
        </w:rPr>
        <w:t>99.5%</w:t>
      </w:r>
      <w:r>
        <w:rPr>
          <w:rFonts w:ascii="Times New Roman" w:eastAsia="仿宋_GB2312" w:hAnsi="Times New Roman" w:cs="Times New Roman" w:hint="eastAsia"/>
          <w:color w:val="000000" w:themeColor="text1"/>
        </w:rPr>
        <w:t>。全面开展道路交通安全联合整治大行动</w:t>
      </w:r>
      <w:r>
        <w:rPr>
          <w:rFonts w:ascii="Times New Roman" w:eastAsia="仿宋_GB2312" w:hAnsi="Times New Roman" w:cs="Times New Roman" w:hint="eastAsia"/>
          <w:color w:val="000000" w:themeColor="text1"/>
        </w:rPr>
        <w:t>90</w:t>
      </w:r>
      <w:r>
        <w:rPr>
          <w:rFonts w:ascii="Times New Roman" w:eastAsia="仿宋_GB2312" w:hAnsi="Times New Roman" w:cs="Times New Roman" w:hint="eastAsia"/>
          <w:color w:val="000000" w:themeColor="text1"/>
        </w:rPr>
        <w:t>余次，查处各类违法行为</w:t>
      </w:r>
      <w:r>
        <w:rPr>
          <w:rFonts w:ascii="Times New Roman" w:eastAsia="仿宋_GB2312" w:hAnsi="Times New Roman" w:cs="Times New Roman" w:hint="eastAsia"/>
          <w:color w:val="000000" w:themeColor="text1"/>
        </w:rPr>
        <w:t>7027</w:t>
      </w:r>
      <w:r>
        <w:rPr>
          <w:rFonts w:ascii="Times New Roman" w:eastAsia="仿宋_GB2312" w:hAnsi="Times New Roman" w:cs="Times New Roman" w:hint="eastAsia"/>
          <w:color w:val="000000" w:themeColor="text1"/>
        </w:rPr>
        <w:t>起，交通事故亡人数量从</w:t>
      </w:r>
      <w:r>
        <w:rPr>
          <w:rFonts w:ascii="Times New Roman" w:eastAsia="仿宋_GB2312" w:hAnsi="Times New Roman" w:cs="Times New Roman" w:hint="eastAsia"/>
          <w:color w:val="000000" w:themeColor="text1"/>
        </w:rPr>
        <w:t>2021</w:t>
      </w:r>
      <w:r>
        <w:rPr>
          <w:rFonts w:ascii="Times New Roman" w:eastAsia="仿宋_GB2312" w:hAnsi="Times New Roman" w:cs="Times New Roman" w:hint="eastAsia"/>
          <w:color w:val="000000" w:themeColor="text1"/>
        </w:rPr>
        <w:t>年</w:t>
      </w:r>
      <w:r>
        <w:rPr>
          <w:rFonts w:ascii="Times New Roman" w:eastAsia="仿宋_GB2312" w:hAnsi="Times New Roman" w:cs="Times New Roman" w:hint="eastAsia"/>
          <w:color w:val="000000" w:themeColor="text1"/>
        </w:rPr>
        <w:t>5</w:t>
      </w:r>
      <w:r>
        <w:rPr>
          <w:rFonts w:ascii="Times New Roman" w:eastAsia="仿宋_GB2312" w:hAnsi="Times New Roman" w:cs="Times New Roman" w:hint="eastAsia"/>
          <w:color w:val="000000" w:themeColor="text1"/>
        </w:rPr>
        <w:t>人下降到</w:t>
      </w:r>
      <w:r>
        <w:rPr>
          <w:rFonts w:ascii="Times New Roman" w:eastAsia="仿宋_GB2312" w:hAnsi="Times New Roman" w:cs="Times New Roman" w:hint="eastAsia"/>
          <w:color w:val="000000" w:themeColor="text1"/>
        </w:rPr>
        <w:t>2022</w:t>
      </w:r>
      <w:r>
        <w:rPr>
          <w:rFonts w:ascii="Times New Roman" w:eastAsia="仿宋_GB2312" w:hAnsi="Times New Roman" w:cs="Times New Roman" w:hint="eastAsia"/>
          <w:color w:val="000000" w:themeColor="text1"/>
        </w:rPr>
        <w:t>年</w:t>
      </w:r>
      <w:r>
        <w:rPr>
          <w:rFonts w:ascii="Times New Roman" w:eastAsia="仿宋_GB2312" w:hAnsi="Times New Roman" w:cs="Times New Roman" w:hint="eastAsia"/>
          <w:color w:val="000000" w:themeColor="text1"/>
        </w:rPr>
        <w:t>2</w:t>
      </w:r>
      <w:r>
        <w:rPr>
          <w:rFonts w:ascii="Times New Roman" w:eastAsia="仿宋_GB2312" w:hAnsi="Times New Roman" w:cs="Times New Roman" w:hint="eastAsia"/>
          <w:color w:val="000000" w:themeColor="text1"/>
        </w:rPr>
        <w:t>人。持续推进安全生产百日攻坚行动，组织联合执法</w:t>
      </w:r>
      <w:r>
        <w:rPr>
          <w:rFonts w:ascii="Times New Roman" w:eastAsia="仿宋_GB2312" w:hAnsi="Times New Roman" w:cs="Times New Roman" w:hint="eastAsia"/>
          <w:color w:val="000000" w:themeColor="text1"/>
        </w:rPr>
        <w:t>16</w:t>
      </w:r>
      <w:r>
        <w:rPr>
          <w:rFonts w:ascii="Times New Roman" w:eastAsia="仿宋_GB2312" w:hAnsi="Times New Roman" w:cs="Times New Roman" w:hint="eastAsia"/>
          <w:color w:val="000000" w:themeColor="text1"/>
        </w:rPr>
        <w:t>次，排查问题隐患</w:t>
      </w:r>
      <w:r>
        <w:rPr>
          <w:rFonts w:ascii="Times New Roman" w:eastAsia="仿宋_GB2312" w:hAnsi="Times New Roman" w:cs="Times New Roman" w:hint="eastAsia"/>
          <w:color w:val="000000" w:themeColor="text1"/>
        </w:rPr>
        <w:t>349</w:t>
      </w:r>
      <w:r>
        <w:rPr>
          <w:rFonts w:ascii="Times New Roman" w:eastAsia="仿宋_GB2312" w:hAnsi="Times New Roman" w:cs="Times New Roman" w:hint="eastAsia"/>
          <w:color w:val="000000" w:themeColor="text1"/>
        </w:rPr>
        <w:t>条，均现场整改或责令整改，形成闭环管理，全年无亡人安全生产事故</w:t>
      </w:r>
      <w:r>
        <w:rPr>
          <w:rFonts w:ascii="Times New Roman" w:eastAsia="仿宋_GB2312" w:hAnsi="Times New Roman" w:cs="Times New Roman" w:hint="eastAsia"/>
          <w:color w:val="000000" w:themeColor="text1"/>
        </w:rPr>
        <w:lastRenderedPageBreak/>
        <w:t>发生。成立</w:t>
      </w:r>
      <w:r>
        <w:rPr>
          <w:rFonts w:ascii="Times New Roman" w:eastAsia="仿宋_GB2312" w:hAnsi="Times New Roman" w:cs="Times New Roman" w:hint="eastAsia"/>
          <w:color w:val="000000" w:themeColor="text1"/>
        </w:rPr>
        <w:t>7</w:t>
      </w:r>
      <w:r>
        <w:rPr>
          <w:rFonts w:ascii="Times New Roman" w:eastAsia="仿宋_GB2312" w:hAnsi="Times New Roman" w:cs="Times New Roman" w:hint="eastAsia"/>
          <w:color w:val="000000" w:themeColor="text1"/>
        </w:rPr>
        <w:t>个小区物业纠纷调解工作室，积极处理各类物业投诉共计</w:t>
      </w:r>
      <w:r>
        <w:rPr>
          <w:rFonts w:ascii="Times New Roman" w:eastAsia="仿宋_GB2312" w:hAnsi="Times New Roman" w:cs="Times New Roman" w:hint="eastAsia"/>
          <w:color w:val="000000" w:themeColor="text1"/>
        </w:rPr>
        <w:t>250</w:t>
      </w:r>
      <w:r>
        <w:rPr>
          <w:rFonts w:ascii="Times New Roman" w:eastAsia="仿宋_GB2312" w:hAnsi="Times New Roman" w:cs="Times New Roman" w:hint="eastAsia"/>
          <w:color w:val="000000" w:themeColor="text1"/>
        </w:rPr>
        <w:t>余起，解决满意率</w:t>
      </w:r>
      <w:r>
        <w:rPr>
          <w:rFonts w:ascii="Times New Roman" w:eastAsia="仿宋_GB2312" w:hAnsi="Times New Roman" w:cs="Times New Roman" w:hint="eastAsia"/>
          <w:color w:val="000000" w:themeColor="text1"/>
        </w:rPr>
        <w:t>98%</w:t>
      </w:r>
      <w:r>
        <w:rPr>
          <w:rFonts w:ascii="Times New Roman" w:eastAsia="仿宋_GB2312" w:hAnsi="Times New Roman" w:cs="Times New Roman" w:hint="eastAsia"/>
          <w:color w:val="000000" w:themeColor="text1"/>
        </w:rPr>
        <w:t>。电信诈骗发案率同比去年下降</w:t>
      </w:r>
      <w:r>
        <w:rPr>
          <w:rFonts w:ascii="Times New Roman" w:eastAsia="仿宋_GB2312" w:hAnsi="Times New Roman" w:cs="Times New Roman" w:hint="eastAsia"/>
          <w:color w:val="000000" w:themeColor="text1"/>
        </w:rPr>
        <w:t>63.83%</w:t>
      </w:r>
      <w:r>
        <w:rPr>
          <w:rFonts w:ascii="Times New Roman" w:eastAsia="仿宋_GB2312" w:hAnsi="Times New Roman" w:cs="Times New Roman" w:hint="eastAsia"/>
          <w:color w:val="000000" w:themeColor="text1"/>
        </w:rPr>
        <w:t>，涉案金额同比去年下降</w:t>
      </w:r>
      <w:r>
        <w:rPr>
          <w:rFonts w:ascii="Times New Roman" w:eastAsia="仿宋_GB2312" w:hAnsi="Times New Roman" w:cs="Times New Roman" w:hint="eastAsia"/>
          <w:color w:val="000000" w:themeColor="text1"/>
        </w:rPr>
        <w:t>52.85%</w:t>
      </w:r>
      <w:r>
        <w:rPr>
          <w:rFonts w:ascii="Times New Roman" w:eastAsia="仿宋_GB2312" w:hAnsi="Times New Roman" w:cs="Times New Roman" w:hint="eastAsia"/>
          <w:color w:val="000000" w:themeColor="text1"/>
        </w:rPr>
        <w:t>。禁毒工作连续多年位列全市考核第一。</w:t>
      </w:r>
      <w:r>
        <w:rPr>
          <w:rFonts w:ascii="Times New Roman" w:eastAsia="仿宋_GB2312" w:hAnsi="Times New Roman" w:cs="Times New Roman" w:hint="eastAsia"/>
          <w:b/>
          <w:bCs/>
          <w:color w:val="000000" w:themeColor="text1"/>
        </w:rPr>
        <w:t>二是法治政府建设有力。</w:t>
      </w:r>
      <w:r>
        <w:rPr>
          <w:rFonts w:ascii="Times New Roman" w:eastAsia="仿宋_GB2312" w:hAnsi="Times New Roman" w:cs="Times New Roman" w:hint="eastAsia"/>
          <w:color w:val="000000" w:themeColor="text1"/>
        </w:rPr>
        <w:t>多渠道开展法治宣传，举办“</w:t>
      </w:r>
      <w:r>
        <w:rPr>
          <w:rFonts w:ascii="Times New Roman" w:eastAsia="仿宋_GB2312" w:hAnsi="Times New Roman" w:cs="Times New Roman" w:hint="eastAsia"/>
          <w:color w:val="000000" w:themeColor="text1"/>
        </w:rPr>
        <w:t>415</w:t>
      </w:r>
      <w:r>
        <w:rPr>
          <w:rFonts w:ascii="Times New Roman" w:eastAsia="仿宋_GB2312" w:hAnsi="Times New Roman" w:cs="Times New Roman" w:hint="eastAsia"/>
          <w:color w:val="000000" w:themeColor="text1"/>
        </w:rPr>
        <w:t>国家安全教育日”“国家宪法宣传日”等活动。组织大学生送法下乡，向群众发放《民法典》《宪法》等宣传资料共计</w:t>
      </w:r>
      <w:r>
        <w:rPr>
          <w:rFonts w:ascii="Times New Roman" w:eastAsia="仿宋_GB2312" w:hAnsi="Times New Roman" w:cs="Times New Roman" w:hint="eastAsia"/>
          <w:color w:val="000000" w:themeColor="text1"/>
        </w:rPr>
        <w:t>1800</w:t>
      </w:r>
      <w:r>
        <w:rPr>
          <w:rFonts w:ascii="Times New Roman" w:eastAsia="仿宋_GB2312" w:hAnsi="Times New Roman" w:cs="Times New Roman" w:hint="eastAsia"/>
          <w:color w:val="000000" w:themeColor="text1"/>
        </w:rPr>
        <w:t>余份。街道班子成员带头遵法学法守法用法，多次组织街道干职工开展法律知识学习，街道干部学法考法通过率达</w:t>
      </w:r>
      <w:r>
        <w:rPr>
          <w:rFonts w:ascii="Times New Roman" w:eastAsia="仿宋_GB2312" w:hAnsi="Times New Roman" w:cs="Times New Roman" w:hint="eastAsia"/>
          <w:color w:val="000000" w:themeColor="text1"/>
        </w:rPr>
        <w:t>100%</w:t>
      </w:r>
      <w:r>
        <w:rPr>
          <w:rFonts w:ascii="Times New Roman" w:eastAsia="仿宋_GB2312" w:hAnsi="Times New Roman" w:cs="Times New Roman" w:hint="eastAsia"/>
          <w:color w:val="000000" w:themeColor="text1"/>
        </w:rPr>
        <w:t>。</w:t>
      </w:r>
      <w:r>
        <w:rPr>
          <w:rFonts w:ascii="Times New Roman" w:eastAsia="仿宋_GB2312" w:hAnsi="Times New Roman" w:cs="Times New Roman" w:hint="eastAsia"/>
          <w:b/>
          <w:bCs/>
          <w:color w:val="000000" w:themeColor="text1"/>
        </w:rPr>
        <w:t>三是信访舆情应对及时。</w:t>
      </w:r>
      <w:r>
        <w:rPr>
          <w:rFonts w:ascii="仿宋_GB2312" w:eastAsia="仿宋_GB2312" w:hAnsi="仿宋" w:cs="仿宋" w:hint="eastAsia"/>
          <w:color w:val="000000" w:themeColor="text1"/>
          <w:kern w:val="0"/>
        </w:rPr>
        <w:t>每月举行1次信访联席会议，与重点信访户人员面对面沟通化解问题。充分</w:t>
      </w:r>
      <w:r>
        <w:rPr>
          <w:rFonts w:ascii="仿宋_GB2312" w:eastAsia="仿宋_GB2312" w:hAnsi="仿宋_GB2312" w:hint="eastAsia"/>
          <w:color w:val="000000" w:themeColor="text1"/>
        </w:rPr>
        <w:t>利用意识形态工作“四级塔群”力量，及时掌握辖区动向，对有矛头的问题及时处置</w:t>
      </w:r>
      <w:r>
        <w:rPr>
          <w:rFonts w:ascii="Times New Roman" w:eastAsia="仿宋_GB2312" w:hAnsi="Times New Roman" w:cs="Times New Roman" w:hint="eastAsia"/>
          <w:color w:val="000000" w:themeColor="text1"/>
        </w:rPr>
        <w:t>。</w:t>
      </w:r>
      <w:r>
        <w:rPr>
          <w:rFonts w:ascii="仿宋_GB2312" w:eastAsia="仿宋_GB2312" w:hAnsi="仿宋" w:cs="仿宋" w:hint="eastAsia"/>
          <w:color w:val="000000" w:themeColor="text1"/>
          <w:kern w:val="0"/>
        </w:rPr>
        <w:t>主流思想舆论引领坚定有力，今年以来，中央、省、市媒体对街道报道90余次，形成良好的舆论氛围。</w:t>
      </w:r>
    </w:p>
    <w:p w:rsidR="005A7EA0" w:rsidRDefault="005A7EA0" w:rsidP="005A7EA0">
      <w:pPr>
        <w:spacing w:line="576" w:lineRule="exact"/>
        <w:ind w:firstLineChars="200" w:firstLine="643"/>
        <w:rPr>
          <w:rFonts w:ascii="Times New Roman" w:eastAsia="仿宋_GB2312" w:hAnsi="Times New Roman" w:cs="Times New Roman"/>
          <w:b/>
          <w:bCs/>
          <w:color w:val="000000" w:themeColor="text1"/>
        </w:rPr>
      </w:pPr>
      <w:r>
        <w:rPr>
          <w:rFonts w:ascii="Times New Roman" w:eastAsia="仿宋_GB2312" w:hAnsi="Times New Roman" w:cs="Times New Roman" w:hint="eastAsia"/>
          <w:b/>
          <w:bCs/>
          <w:color w:val="000000" w:themeColor="text1"/>
        </w:rPr>
        <w:t>（五）</w:t>
      </w:r>
      <w:r>
        <w:rPr>
          <w:rFonts w:ascii="Times New Roman" w:eastAsia="仿宋_GB2312" w:hAnsi="Times New Roman" w:cs="Times New Roman"/>
          <w:b/>
          <w:bCs/>
          <w:color w:val="000000" w:themeColor="text1"/>
        </w:rPr>
        <w:t>一丝不苟治环境，彰显美丽宜居城郊魅力</w:t>
      </w:r>
      <w:r>
        <w:rPr>
          <w:rFonts w:ascii="Times New Roman" w:eastAsia="仿宋_GB2312" w:hAnsi="Times New Roman" w:cs="Times New Roman" w:hint="eastAsia"/>
          <w:b/>
          <w:bCs/>
          <w:color w:val="000000" w:themeColor="text1"/>
        </w:rPr>
        <w:t>。</w:t>
      </w:r>
    </w:p>
    <w:p w:rsidR="005A7EA0" w:rsidRDefault="005A7EA0" w:rsidP="005A7EA0">
      <w:pPr>
        <w:spacing w:line="576" w:lineRule="exact"/>
        <w:ind w:firstLineChars="200" w:firstLine="643"/>
        <w:rPr>
          <w:rFonts w:ascii="仿宋_GB2312" w:eastAsia="仿宋_GB2312"/>
          <w:color w:val="000000" w:themeColor="text1"/>
        </w:rPr>
      </w:pPr>
      <w:r>
        <w:rPr>
          <w:rFonts w:ascii="Times New Roman" w:eastAsia="仿宋_GB2312" w:hAnsi="Times New Roman" w:cs="Times New Roman"/>
          <w:b/>
          <w:bCs/>
          <w:color w:val="000000" w:themeColor="text1"/>
        </w:rPr>
        <w:t>一是人居环境治理水平提升。</w:t>
      </w:r>
      <w:r>
        <w:rPr>
          <w:rFonts w:ascii="仿宋_GB2312" w:eastAsia="仿宋_GB2312" w:hAnsiTheme="majorEastAsia" w:hint="eastAsia"/>
          <w:color w:val="000000" w:themeColor="text1"/>
        </w:rPr>
        <w:t>加大</w:t>
      </w:r>
      <w:r>
        <w:rPr>
          <w:rFonts w:ascii="仿宋_GB2312" w:eastAsia="仿宋_GB2312" w:hAnsi="Times New Roman" w:hint="eastAsia"/>
          <w:color w:val="000000" w:themeColor="text1"/>
        </w:rPr>
        <w:t>生活垃圾分类工作的推进力度，</w:t>
      </w:r>
      <w:r>
        <w:rPr>
          <w:rFonts w:ascii="仿宋_GB2312" w:eastAsia="仿宋_GB2312" w:hAnsiTheme="majorEastAsia" w:hint="eastAsia"/>
          <w:color w:val="000000" w:themeColor="text1"/>
        </w:rPr>
        <w:t>发放垃圾分类宣传标语2500份，宣传手册6000份，</w:t>
      </w:r>
      <w:r>
        <w:rPr>
          <w:rFonts w:ascii="Times New Roman" w:eastAsia="仿宋_GB2312" w:hAnsi="Times New Roman" w:cs="Times New Roman"/>
          <w:color w:val="000000" w:themeColor="text1"/>
        </w:rPr>
        <w:t>石泉安置区垃圾分类工作成效和做法被城管委办公室向长沙推介</w:t>
      </w:r>
      <w:r>
        <w:rPr>
          <w:rFonts w:ascii="仿宋_GB2312" w:eastAsia="仿宋_GB2312" w:hAnsiTheme="majorEastAsia" w:hint="eastAsia"/>
          <w:color w:val="000000" w:themeColor="text1"/>
        </w:rPr>
        <w:t>；</w:t>
      </w:r>
      <w:r>
        <w:rPr>
          <w:rFonts w:ascii="仿宋_GB2312" w:eastAsia="仿宋_GB2312" w:hAnsi="仿宋_GB2312" w:hint="eastAsia"/>
          <w:color w:val="000000" w:themeColor="text1"/>
        </w:rPr>
        <w:t>集中力量开展针对闲置地块乱堆杂物、居民区违规毁绿种菜等问题的专项整治工作，</w:t>
      </w:r>
      <w:r>
        <w:rPr>
          <w:rFonts w:ascii="Times New Roman" w:eastAsia="仿宋_GB2312" w:hAnsi="Times New Roman" w:hint="eastAsia"/>
          <w:color w:val="000000" w:themeColor="text1"/>
        </w:rPr>
        <w:t>实现菜地复绿</w:t>
      </w:r>
      <w:r>
        <w:rPr>
          <w:rFonts w:ascii="Times New Roman" w:eastAsia="仿宋_GB2312" w:hAnsi="Times New Roman" w:hint="eastAsia"/>
          <w:color w:val="000000" w:themeColor="text1"/>
        </w:rPr>
        <w:t>18</w:t>
      </w:r>
      <w:r>
        <w:rPr>
          <w:rFonts w:ascii="Times New Roman" w:eastAsia="仿宋_GB2312" w:hAnsi="Times New Roman" w:hint="eastAsia"/>
          <w:color w:val="000000" w:themeColor="text1"/>
        </w:rPr>
        <w:t>万平方米；全面推进城区市容环境全域提升达标，对石泉片区等</w:t>
      </w:r>
      <w:r>
        <w:rPr>
          <w:rFonts w:ascii="Times New Roman" w:eastAsia="仿宋_GB2312" w:hAnsi="Times New Roman" w:hint="eastAsia"/>
          <w:color w:val="000000" w:themeColor="text1"/>
        </w:rPr>
        <w:t>20</w:t>
      </w:r>
      <w:r>
        <w:rPr>
          <w:rFonts w:ascii="Times New Roman" w:eastAsia="仿宋_GB2312" w:hAnsi="Times New Roman" w:hint="eastAsia"/>
          <w:color w:val="000000" w:themeColor="text1"/>
        </w:rPr>
        <w:t>余个区域的闲置地块进行整治；压实各级网格责任，加强国土资源执法巡察，实现街道全年违法卫片图斑零新增；耕地恢复超任务值</w:t>
      </w:r>
      <w:r>
        <w:rPr>
          <w:rFonts w:ascii="Times New Roman" w:eastAsia="仿宋_GB2312" w:hAnsi="Times New Roman" w:hint="eastAsia"/>
          <w:color w:val="000000" w:themeColor="text1"/>
        </w:rPr>
        <w:t>30%</w:t>
      </w:r>
      <w:r>
        <w:rPr>
          <w:rFonts w:ascii="Times New Roman" w:eastAsia="仿宋_GB2312" w:hAnsi="Times New Roman" w:hint="eastAsia"/>
          <w:color w:val="000000" w:themeColor="text1"/>
        </w:rPr>
        <w:t>完成，成功接</w:t>
      </w:r>
      <w:r>
        <w:rPr>
          <w:rFonts w:ascii="Times New Roman" w:eastAsia="仿宋_GB2312" w:hAnsi="Times New Roman" w:hint="eastAsia"/>
          <w:color w:val="000000" w:themeColor="text1"/>
        </w:rPr>
        <w:lastRenderedPageBreak/>
        <w:t>受省自然资源厅调研并得到认可；</w:t>
      </w:r>
      <w:r>
        <w:rPr>
          <w:rFonts w:ascii="Times New Roman" w:eastAsia="仿宋_GB2312" w:hAnsi="Times New Roman" w:cs="Times New Roman"/>
          <w:color w:val="000000" w:themeColor="text1"/>
        </w:rPr>
        <w:t>组织</w:t>
      </w:r>
      <w:r>
        <w:rPr>
          <w:rFonts w:ascii="Times New Roman" w:eastAsia="仿宋_GB2312" w:hAnsi="Times New Roman" w:cs="Times New Roman"/>
          <w:color w:val="000000" w:themeColor="text1"/>
        </w:rPr>
        <w:t>10</w:t>
      </w:r>
      <w:r>
        <w:rPr>
          <w:rFonts w:ascii="Times New Roman" w:eastAsia="仿宋_GB2312" w:hAnsi="Times New Roman" w:cs="Times New Roman"/>
          <w:color w:val="000000" w:themeColor="text1"/>
        </w:rPr>
        <w:t>个社区党员干部、志愿者，联合市百姓河长办公室等，开展</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保护母亲河</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千人清河净滩</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专项行动，既取得不错成果又收获居民口碑。</w:t>
      </w:r>
      <w:r>
        <w:rPr>
          <w:rFonts w:ascii="Times New Roman" w:eastAsia="仿宋_GB2312" w:hAnsi="Times New Roman" w:cs="Times New Roman"/>
          <w:b/>
          <w:bCs/>
          <w:color w:val="000000" w:themeColor="text1"/>
        </w:rPr>
        <w:t>二是生态环境保护全面加强。</w:t>
      </w:r>
      <w:r>
        <w:rPr>
          <w:rFonts w:ascii="Times New Roman" w:eastAsia="仿宋_GB2312" w:hAnsi="Times New Roman" w:cs="Times New Roman"/>
          <w:color w:val="000000" w:themeColor="text1"/>
        </w:rPr>
        <w:t>成立街道和社区专班巡防队伍，对大气污染防治和水污染防治等工作进行不间断巡查，向市蓝天办报送巡查记录信息</w:t>
      </w:r>
      <w:r>
        <w:rPr>
          <w:rFonts w:ascii="Times New Roman" w:eastAsia="仿宋_GB2312" w:hAnsi="Times New Roman" w:cs="Times New Roman"/>
          <w:color w:val="000000" w:themeColor="text1"/>
        </w:rPr>
        <w:t>40</w:t>
      </w:r>
      <w:r>
        <w:rPr>
          <w:rFonts w:ascii="Times New Roman" w:eastAsia="仿宋_GB2312" w:hAnsi="Times New Roman" w:cs="Times New Roman"/>
          <w:color w:val="000000" w:themeColor="text1"/>
        </w:rPr>
        <w:t>余次；积极进行蓝天保卫、禁燃、禁烧、禁放的宣传引导，组织出动宣传车</w:t>
      </w:r>
      <w:r>
        <w:rPr>
          <w:rFonts w:ascii="Times New Roman" w:eastAsia="仿宋_GB2312" w:hAnsi="Times New Roman" w:cs="Times New Roman"/>
          <w:color w:val="000000" w:themeColor="text1"/>
        </w:rPr>
        <w:t>150</w:t>
      </w:r>
      <w:r>
        <w:rPr>
          <w:rFonts w:ascii="Times New Roman" w:eastAsia="仿宋_GB2312" w:hAnsi="Times New Roman" w:cs="Times New Roman"/>
          <w:color w:val="000000" w:themeColor="text1"/>
        </w:rPr>
        <w:t>批次、发放禁燃禁放禁烧宣传单</w:t>
      </w:r>
      <w:r>
        <w:rPr>
          <w:rFonts w:ascii="Times New Roman" w:eastAsia="仿宋_GB2312" w:hAnsi="Times New Roman" w:cs="Times New Roman"/>
          <w:color w:val="000000" w:themeColor="text1"/>
        </w:rPr>
        <w:t>65000</w:t>
      </w:r>
      <w:r>
        <w:rPr>
          <w:rFonts w:ascii="Times New Roman" w:eastAsia="仿宋_GB2312" w:hAnsi="Times New Roman" w:cs="Times New Roman"/>
          <w:color w:val="000000" w:themeColor="text1"/>
        </w:rPr>
        <w:t>余份；开展防范化解生态环境风险隐患</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利剑</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行动巡查</w:t>
      </w:r>
      <w:r>
        <w:rPr>
          <w:rFonts w:ascii="Times New Roman" w:eastAsia="仿宋_GB2312" w:hAnsi="Times New Roman" w:cs="Times New Roman"/>
          <w:color w:val="000000" w:themeColor="text1"/>
        </w:rPr>
        <w:t>20</w:t>
      </w:r>
      <w:r>
        <w:rPr>
          <w:rFonts w:ascii="Times New Roman" w:eastAsia="仿宋_GB2312" w:hAnsi="Times New Roman" w:cs="Times New Roman"/>
          <w:color w:val="000000" w:themeColor="text1"/>
        </w:rPr>
        <w:t>余次，处理环保投诉问题</w:t>
      </w:r>
      <w:r>
        <w:rPr>
          <w:rFonts w:ascii="Times New Roman" w:eastAsia="仿宋_GB2312" w:hAnsi="Times New Roman" w:cs="Times New Roman"/>
          <w:color w:val="000000" w:themeColor="text1"/>
        </w:rPr>
        <w:t>5</w:t>
      </w:r>
      <w:r>
        <w:rPr>
          <w:rFonts w:ascii="Times New Roman" w:eastAsia="仿宋_GB2312" w:hAnsi="Times New Roman" w:cs="Times New Roman"/>
          <w:color w:val="000000" w:themeColor="text1"/>
        </w:rPr>
        <w:t>次。</w:t>
      </w:r>
      <w:r>
        <w:rPr>
          <w:rFonts w:ascii="Times New Roman" w:eastAsia="仿宋_GB2312" w:hAnsi="Times New Roman" w:cs="Times New Roman"/>
          <w:b/>
          <w:bCs/>
          <w:color w:val="000000" w:themeColor="text1"/>
        </w:rPr>
        <w:t>三是背街小巷整治取得成效。</w:t>
      </w:r>
      <w:r>
        <w:rPr>
          <w:rFonts w:ascii="Times New Roman" w:eastAsia="仿宋_GB2312" w:hAnsi="Times New Roman" w:cs="Times New Roman"/>
          <w:color w:val="000000" w:themeColor="text1"/>
        </w:rPr>
        <w:t>全力抓好市委九大专项行动整治任务，从</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拆、修、添、治</w:t>
      </w:r>
      <w:r>
        <w:rPr>
          <w:rFonts w:ascii="Times New Roman" w:eastAsia="仿宋_GB2312" w:hAnsi="Times New Roman" w:cs="Times New Roman"/>
          <w:color w:val="000000" w:themeColor="text1"/>
        </w:rPr>
        <w:t>”</w:t>
      </w:r>
      <w:r>
        <w:rPr>
          <w:rFonts w:ascii="Times New Roman" w:eastAsia="仿宋_GB2312" w:hAnsi="Times New Roman" w:cs="Times New Roman"/>
          <w:color w:val="000000" w:themeColor="text1"/>
        </w:rPr>
        <w:t>四方入手，加大背街小巷整治力度，恒达巷、白泥巷，爱国巷等</w:t>
      </w:r>
      <w:r>
        <w:rPr>
          <w:rFonts w:ascii="Times New Roman" w:eastAsia="仿宋_GB2312" w:hAnsi="Times New Roman" w:cs="Times New Roman"/>
          <w:color w:val="000000" w:themeColor="text1"/>
        </w:rPr>
        <w:t>7</w:t>
      </w:r>
      <w:r>
        <w:rPr>
          <w:rFonts w:ascii="Times New Roman" w:eastAsia="仿宋_GB2312" w:hAnsi="Times New Roman" w:cs="Times New Roman"/>
          <w:color w:val="000000" w:themeColor="text1"/>
        </w:rPr>
        <w:t>条背街小巷完成整治提质并顺利通过长沙市验收，被市融媒体中心、长沙新闻频道作为破解背街小巷治理难题的典型进行报道。</w:t>
      </w:r>
      <w:r>
        <w:rPr>
          <w:rFonts w:ascii="Times New Roman" w:eastAsia="仿宋_GB2312" w:hAnsi="Times New Roman" w:cs="Times New Roman"/>
          <w:b/>
          <w:bCs/>
          <w:color w:val="000000" w:themeColor="text1"/>
        </w:rPr>
        <w:t>四是自建房排查整治深入开展。</w:t>
      </w:r>
      <w:r>
        <w:rPr>
          <w:rFonts w:ascii="仿宋_GB2312" w:eastAsia="仿宋_GB2312" w:hint="eastAsia"/>
          <w:color w:val="000000" w:themeColor="text1"/>
        </w:rPr>
        <w:t>自建房排查整治工作以群力安置区为试点，以点带面，形成样板，代表宁乡顺利接受了国务院安委会、省政府和长沙市政府的多轮督查督导，并赢得了督导组的肯定，在宁乡市的两轮全市交叉检查中，街道均排名第一。</w:t>
      </w:r>
    </w:p>
    <w:p w:rsidR="00233596" w:rsidRDefault="00AE5536">
      <w:pPr>
        <w:spacing w:line="576" w:lineRule="exact"/>
        <w:ind w:firstLineChars="200" w:firstLine="640"/>
        <w:rPr>
          <w:rStyle w:val="font31"/>
          <w:rFonts w:ascii="黑体" w:eastAsia="黑体" w:hAnsi="黑体" w:cs="黑体"/>
          <w:sz w:val="32"/>
          <w:szCs w:val="32"/>
        </w:rPr>
      </w:pPr>
      <w:r>
        <w:rPr>
          <w:rStyle w:val="font31"/>
          <w:rFonts w:ascii="黑体" w:eastAsia="黑体" w:hAnsi="黑体" w:cs="黑体" w:hint="eastAsia"/>
          <w:sz w:val="32"/>
          <w:szCs w:val="32"/>
        </w:rPr>
        <w:t>五、存在的主要问题</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一是预算准确率方面有待进一步增加，年初预算与决算方面存在较大偏差，特别是具体到各功能科目的预算方面，年初预算与决算偏差更为突出。二是差额人员比较多，预算经费不足，财政运转压力大。</w:t>
      </w:r>
    </w:p>
    <w:p w:rsidR="00233596" w:rsidRDefault="00AE5536">
      <w:pPr>
        <w:spacing w:line="576" w:lineRule="exact"/>
        <w:ind w:firstLineChars="200" w:firstLine="640"/>
        <w:rPr>
          <w:rStyle w:val="font31"/>
          <w:rFonts w:ascii="黑体" w:eastAsia="黑体" w:hAnsi="黑体" w:cs="黑体"/>
          <w:sz w:val="32"/>
          <w:szCs w:val="32"/>
        </w:rPr>
      </w:pPr>
      <w:r>
        <w:rPr>
          <w:rStyle w:val="font31"/>
          <w:rFonts w:ascii="黑体" w:eastAsia="黑体" w:hAnsi="黑体" w:cs="黑体" w:hint="eastAsia"/>
          <w:sz w:val="32"/>
          <w:szCs w:val="32"/>
        </w:rPr>
        <w:lastRenderedPageBreak/>
        <w:t>六、改进措施和有关建议</w:t>
      </w:r>
    </w:p>
    <w:p w:rsidR="00233596" w:rsidRDefault="00AE5536">
      <w:pPr>
        <w:spacing w:line="576" w:lineRule="exact"/>
        <w:ind w:firstLineChars="200" w:firstLine="640"/>
        <w:rPr>
          <w:rStyle w:val="font31"/>
          <w:rFonts w:hAnsi="仿宋_GB2312"/>
          <w:sz w:val="32"/>
          <w:szCs w:val="32"/>
        </w:rPr>
      </w:pPr>
      <w:r>
        <w:rPr>
          <w:rStyle w:val="font31"/>
          <w:rFonts w:hAnsi="仿宋_GB2312" w:hint="eastAsia"/>
          <w:sz w:val="32"/>
          <w:szCs w:val="32"/>
        </w:rPr>
        <w:t>一是预算编制在零基预算方面进一步下功夫，轻以前数据的研判，重年初数据的调研论证，广泛听取征求相关意见，充分了解掌握熟悉相关情况，预判分析发展趋势，力求年初预算更加精准。二是加强《预算法》《新政府会计制度》《政府采购法》等知识的学习培训，规范部门预算收支核算，严格按项目和进度执行预算，增强预算约束力和严肃性。三是落实预算执行分析，加强对项目开展情况进行跟踪监督，及时发现掌握预算执行偏差原因，按法定程序实事求是的合理调整，切实提高部门预算收支管理水平。</w:t>
      </w:r>
    </w:p>
    <w:sectPr w:rsidR="00233596" w:rsidSect="00233596">
      <w:pgSz w:w="11906" w:h="16838"/>
      <w:pgMar w:top="2098" w:right="1474" w:bottom="1984" w:left="158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方正舒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DAAC261"/>
    <w:multiLevelType w:val="singleLevel"/>
    <w:tmpl w:val="DDAAC261"/>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MTczODk0MzZmNzZjYjQwZjI5YTgwNWMwYTgxZTdkZWEifQ=="/>
  </w:docVars>
  <w:rsids>
    <w:rsidRoot w:val="210564AC"/>
    <w:rsid w:val="000F3338"/>
    <w:rsid w:val="00183CFC"/>
    <w:rsid w:val="001B0651"/>
    <w:rsid w:val="001D162F"/>
    <w:rsid w:val="00233596"/>
    <w:rsid w:val="002B7242"/>
    <w:rsid w:val="00344692"/>
    <w:rsid w:val="004C0FEF"/>
    <w:rsid w:val="00580912"/>
    <w:rsid w:val="005A7EA0"/>
    <w:rsid w:val="006B16FF"/>
    <w:rsid w:val="00787EE4"/>
    <w:rsid w:val="0079352D"/>
    <w:rsid w:val="00815292"/>
    <w:rsid w:val="00927AE7"/>
    <w:rsid w:val="00953797"/>
    <w:rsid w:val="009869E4"/>
    <w:rsid w:val="009B2930"/>
    <w:rsid w:val="00AE5536"/>
    <w:rsid w:val="00B36C7E"/>
    <w:rsid w:val="00B52684"/>
    <w:rsid w:val="00BD05F4"/>
    <w:rsid w:val="00BF66F2"/>
    <w:rsid w:val="00C15D18"/>
    <w:rsid w:val="00C95E2E"/>
    <w:rsid w:val="00CA6E4F"/>
    <w:rsid w:val="00CD00DF"/>
    <w:rsid w:val="00F72FD2"/>
    <w:rsid w:val="1BBE306E"/>
    <w:rsid w:val="210564AC"/>
    <w:rsid w:val="2E5753D6"/>
    <w:rsid w:val="32EA6283"/>
    <w:rsid w:val="4CD64A37"/>
    <w:rsid w:val="547346BE"/>
    <w:rsid w:val="5F5D479A"/>
    <w:rsid w:val="61D83A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33596"/>
    <w:pPr>
      <w:widowControl w:val="0"/>
      <w:jc w:val="both"/>
    </w:pPr>
    <w:rPr>
      <w:rFonts w:ascii="Calibri" w:hAnsi="Calibri" w:cs="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233596"/>
    <w:pPr>
      <w:spacing w:before="100" w:beforeAutospacing="1" w:after="100" w:afterAutospacing="1"/>
      <w:jc w:val="left"/>
    </w:pPr>
    <w:rPr>
      <w:kern w:val="0"/>
      <w:sz w:val="24"/>
      <w:szCs w:val="21"/>
    </w:rPr>
  </w:style>
  <w:style w:type="character" w:customStyle="1" w:styleId="font51">
    <w:name w:val="font51"/>
    <w:basedOn w:val="a0"/>
    <w:qFormat/>
    <w:rsid w:val="00233596"/>
    <w:rPr>
      <w:rFonts w:ascii="方正小标宋简体" w:eastAsia="方正小标宋简体" w:hAnsi="方正小标宋简体" w:cs="方正小标宋简体" w:hint="default"/>
      <w:b/>
      <w:color w:val="000000"/>
      <w:sz w:val="44"/>
      <w:szCs w:val="44"/>
      <w:u w:val="none"/>
    </w:rPr>
  </w:style>
  <w:style w:type="character" w:customStyle="1" w:styleId="font31">
    <w:name w:val="font31"/>
    <w:basedOn w:val="a0"/>
    <w:qFormat/>
    <w:rsid w:val="00233596"/>
    <w:rPr>
      <w:rFonts w:ascii="仿宋_GB2312" w:eastAsia="仿宋_GB2312" w:cs="仿宋_GB2312"/>
      <w:color w:val="000000"/>
      <w:sz w:val="28"/>
      <w:szCs w:val="28"/>
      <w:u w:val="none"/>
    </w:rPr>
  </w:style>
  <w:style w:type="paragraph" w:styleId="a4">
    <w:name w:val="List Paragraph"/>
    <w:basedOn w:val="a"/>
    <w:uiPriority w:val="99"/>
    <w:unhideWhenUsed/>
    <w:qFormat/>
    <w:rsid w:val="00233596"/>
    <w:pPr>
      <w:ind w:firstLineChars="200" w:firstLine="420"/>
    </w:pPr>
  </w:style>
  <w:style w:type="character" w:customStyle="1" w:styleId="font41">
    <w:name w:val="font41"/>
    <w:basedOn w:val="a0"/>
    <w:qFormat/>
    <w:rsid w:val="00233596"/>
    <w:rPr>
      <w:rFonts w:ascii="Times New Roman" w:hAnsi="Times New Roman" w:cs="Times New Roman" w:hint="default"/>
      <w:color w:val="000000"/>
      <w:sz w:val="28"/>
      <w:szCs w:val="28"/>
      <w:u w:val="none"/>
    </w:rPr>
  </w:style>
  <w:style w:type="paragraph" w:customStyle="1" w:styleId="NormalIndent">
    <w:name w:val="NormalIndent"/>
    <w:basedOn w:val="a"/>
    <w:qFormat/>
    <w:rsid w:val="00233596"/>
    <w:pPr>
      <w:ind w:firstLine="420"/>
      <w:textAlignment w:val="baseline"/>
    </w:pPr>
    <w:rPr>
      <w:szCs w:val="21"/>
    </w:rPr>
  </w:style>
</w:styles>
</file>

<file path=word/webSettings.xml><?xml version="1.0" encoding="utf-8"?>
<w:webSettings xmlns:r="http://schemas.openxmlformats.org/officeDocument/2006/relationships" xmlns:w="http://schemas.openxmlformats.org/wordprocessingml/2006/main">
  <w:divs>
    <w:div w:id="178131808">
      <w:bodyDiv w:val="1"/>
      <w:marLeft w:val="0"/>
      <w:marRight w:val="0"/>
      <w:marTop w:val="0"/>
      <w:marBottom w:val="0"/>
      <w:divBdr>
        <w:top w:val="none" w:sz="0" w:space="0" w:color="auto"/>
        <w:left w:val="none" w:sz="0" w:space="0" w:color="auto"/>
        <w:bottom w:val="none" w:sz="0" w:space="0" w:color="auto"/>
        <w:right w:val="none" w:sz="0" w:space="0" w:color="auto"/>
      </w:divBdr>
    </w:div>
    <w:div w:id="279920137">
      <w:bodyDiv w:val="1"/>
      <w:marLeft w:val="0"/>
      <w:marRight w:val="0"/>
      <w:marTop w:val="0"/>
      <w:marBottom w:val="0"/>
      <w:divBdr>
        <w:top w:val="none" w:sz="0" w:space="0" w:color="auto"/>
        <w:left w:val="none" w:sz="0" w:space="0" w:color="auto"/>
        <w:bottom w:val="none" w:sz="0" w:space="0" w:color="auto"/>
        <w:right w:val="none" w:sz="0" w:space="0" w:color="auto"/>
      </w:divBdr>
    </w:div>
    <w:div w:id="561792232">
      <w:bodyDiv w:val="1"/>
      <w:marLeft w:val="0"/>
      <w:marRight w:val="0"/>
      <w:marTop w:val="0"/>
      <w:marBottom w:val="0"/>
      <w:divBdr>
        <w:top w:val="none" w:sz="0" w:space="0" w:color="auto"/>
        <w:left w:val="none" w:sz="0" w:space="0" w:color="auto"/>
        <w:bottom w:val="none" w:sz="0" w:space="0" w:color="auto"/>
        <w:right w:val="none" w:sz="0" w:space="0" w:color="auto"/>
      </w:divBdr>
    </w:div>
    <w:div w:id="975991034">
      <w:bodyDiv w:val="1"/>
      <w:marLeft w:val="0"/>
      <w:marRight w:val="0"/>
      <w:marTop w:val="0"/>
      <w:marBottom w:val="0"/>
      <w:divBdr>
        <w:top w:val="none" w:sz="0" w:space="0" w:color="auto"/>
        <w:left w:val="none" w:sz="0" w:space="0" w:color="auto"/>
        <w:bottom w:val="none" w:sz="0" w:space="0" w:color="auto"/>
        <w:right w:val="none" w:sz="0" w:space="0" w:color="auto"/>
      </w:divBdr>
    </w:div>
    <w:div w:id="1358198634">
      <w:bodyDiv w:val="1"/>
      <w:marLeft w:val="0"/>
      <w:marRight w:val="0"/>
      <w:marTop w:val="0"/>
      <w:marBottom w:val="0"/>
      <w:divBdr>
        <w:top w:val="none" w:sz="0" w:space="0" w:color="auto"/>
        <w:left w:val="none" w:sz="0" w:space="0" w:color="auto"/>
        <w:bottom w:val="none" w:sz="0" w:space="0" w:color="auto"/>
        <w:right w:val="none" w:sz="0" w:space="0" w:color="auto"/>
      </w:divBdr>
    </w:div>
    <w:div w:id="1377386299">
      <w:bodyDiv w:val="1"/>
      <w:marLeft w:val="0"/>
      <w:marRight w:val="0"/>
      <w:marTop w:val="0"/>
      <w:marBottom w:val="0"/>
      <w:divBdr>
        <w:top w:val="none" w:sz="0" w:space="0" w:color="auto"/>
        <w:left w:val="none" w:sz="0" w:space="0" w:color="auto"/>
        <w:bottom w:val="none" w:sz="0" w:space="0" w:color="auto"/>
        <w:right w:val="none" w:sz="0" w:space="0" w:color="auto"/>
      </w:divBdr>
    </w:div>
    <w:div w:id="16436577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TotalTime>
  <Pages>1</Pages>
  <Words>1468</Words>
  <Characters>8373</Characters>
  <Application>Microsoft Office Word</Application>
  <DocSecurity>0</DocSecurity>
  <Lines>69</Lines>
  <Paragraphs>19</Paragraphs>
  <ScaleCrop>false</ScaleCrop>
  <Company/>
  <LinksUpToDate>false</LinksUpToDate>
  <CharactersWithSpaces>9822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27</cp:revision>
  <cp:lastPrinted>2021-03-31T04:43:00Z</cp:lastPrinted>
  <dcterms:created xsi:type="dcterms:W3CDTF">2021-03-31T02:39:00Z</dcterms:created>
  <dcterms:modified xsi:type="dcterms:W3CDTF">2023-03-17T06:43:00Z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7A52F0FCE49A49499FABEABDD1E9C1CA</vt:lpwstr>
  </property>
</Properties>
</file>