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Style w:val="5"/>
          <w:b w:val="0"/>
          <w:bCs/>
        </w:rPr>
      </w:pPr>
      <w:r>
        <w:rPr>
          <w:rFonts w:hint="eastAsia" w:ascii="方正小标宋简体" w:hAnsi="方正小标宋简体" w:eastAsia="方正小标宋简体" w:cs="方正小标宋简体"/>
          <w:bCs/>
          <w:color w:val="000000"/>
          <w:kern w:val="0"/>
          <w:sz w:val="44"/>
          <w:szCs w:val="44"/>
        </w:rPr>
        <w:t>城郊街道2020年度部门整体支出绩效</w:t>
      </w:r>
      <w:r>
        <w:rPr>
          <w:rStyle w:val="5"/>
          <w:rFonts w:hint="eastAsia"/>
          <w:b w:val="0"/>
          <w:bCs/>
        </w:rPr>
        <w:t>自评</w:t>
      </w:r>
    </w:p>
    <w:p>
      <w:pPr>
        <w:spacing w:line="576" w:lineRule="exact"/>
        <w:jc w:val="center"/>
        <w:rPr>
          <w:rStyle w:val="5"/>
          <w:b w:val="0"/>
          <w:bCs/>
        </w:rPr>
      </w:pPr>
      <w:r>
        <w:rPr>
          <w:rStyle w:val="5"/>
          <w:rFonts w:hint="eastAsia"/>
          <w:b w:val="0"/>
          <w:bCs/>
        </w:rPr>
        <w:t>报告</w:t>
      </w:r>
    </w:p>
    <w:p>
      <w:pPr>
        <w:spacing w:line="576" w:lineRule="exact"/>
        <w:ind w:firstLine="640" w:firstLineChars="200"/>
        <w:rPr>
          <w:rStyle w:val="6"/>
          <w:rFonts w:hAnsi="仿宋_GB2312"/>
          <w:sz w:val="32"/>
          <w:szCs w:val="32"/>
        </w:rPr>
      </w:pPr>
    </w:p>
    <w:p>
      <w:pPr>
        <w:spacing w:line="576" w:lineRule="exact"/>
        <w:ind w:firstLine="640" w:firstLineChars="200"/>
        <w:rPr>
          <w:rStyle w:val="6"/>
          <w:rFonts w:hAnsi="仿宋_GB2312"/>
          <w:sz w:val="32"/>
          <w:szCs w:val="32"/>
        </w:rPr>
      </w:pPr>
      <w:r>
        <w:rPr>
          <w:rStyle w:val="6"/>
          <w:rFonts w:hint="eastAsia" w:hAnsi="仿宋_GB2312"/>
          <w:sz w:val="32"/>
          <w:szCs w:val="32"/>
        </w:rPr>
        <w:t>根据《宁乡市财政局关于印发〈宁乡市全面实施预算绩效管理的实施办法〉的通知》（宁财[2021]4号和预算绩效管理的要求，城郊街道办事处对2020年度部门整体支出绩效开展自评，评价结果如下：</w:t>
      </w:r>
    </w:p>
    <w:p>
      <w:pPr>
        <w:spacing w:line="576" w:lineRule="exact"/>
        <w:ind w:firstLine="640" w:firstLineChars="200"/>
        <w:rPr>
          <w:rStyle w:val="6"/>
          <w:rFonts w:ascii="黑体" w:hAnsi="黑体" w:eastAsia="黑体" w:cs="黑体"/>
          <w:sz w:val="32"/>
          <w:szCs w:val="32"/>
        </w:rPr>
      </w:pPr>
      <w:r>
        <w:rPr>
          <w:rStyle w:val="6"/>
          <w:rFonts w:hint="eastAsia" w:ascii="黑体" w:hAnsi="黑体" w:eastAsia="黑体" w:cs="黑体"/>
          <w:sz w:val="32"/>
          <w:szCs w:val="32"/>
        </w:rPr>
        <w:t>一、部门概况</w:t>
      </w:r>
    </w:p>
    <w:p>
      <w:pPr>
        <w:spacing w:line="576" w:lineRule="exact"/>
        <w:ind w:left="640" w:left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（一）职能职责</w:t>
      </w:r>
    </w:p>
    <w:p>
      <w:pPr>
        <w:spacing w:line="576" w:lineRule="exact"/>
        <w:ind w:firstLine="640" w:firstLineChars="200"/>
        <w:rPr>
          <w:rStyle w:val="6"/>
          <w:rFonts w:hint="eastAsia" w:hAnsi="仿宋_GB2312" w:eastAsia="仿宋_GB2312"/>
          <w:sz w:val="32"/>
          <w:szCs w:val="32"/>
          <w:lang w:eastAsia="zh-CN"/>
        </w:rPr>
      </w:pPr>
      <w:r>
        <w:rPr>
          <w:rStyle w:val="6"/>
          <w:rFonts w:hint="eastAsia" w:hAnsi="仿宋_GB2312"/>
          <w:sz w:val="32"/>
          <w:szCs w:val="32"/>
        </w:rPr>
        <w:t>办事处：负责政府全面工作；负责编制本级财政预算、结算，组织预算收入和执行预算支出，负责加强街道所属各中心（所）的财务管理和监督等。</w:t>
      </w:r>
    </w:p>
    <w:p>
      <w:pPr>
        <w:spacing w:line="576" w:lineRule="exact"/>
        <w:ind w:firstLine="640" w:firstLineChars="200"/>
        <w:rPr>
          <w:rStyle w:val="6"/>
          <w:rFonts w:hint="eastAsia" w:hAnsi="仿宋_GB2312" w:eastAsia="仿宋_GB2312"/>
          <w:sz w:val="32"/>
          <w:szCs w:val="32"/>
          <w:lang w:eastAsia="zh-CN"/>
        </w:rPr>
      </w:pPr>
      <w:r>
        <w:rPr>
          <w:rStyle w:val="6"/>
          <w:rFonts w:hint="eastAsia" w:hAnsi="仿宋_GB2312"/>
          <w:sz w:val="32"/>
          <w:szCs w:val="32"/>
        </w:rPr>
        <w:t xml:space="preserve">    司法所：提供法律保障、法律服务、法制宣传教育等，指导、管理人民调解工作，指导管理基层法律服务工作等。</w:t>
      </w:r>
    </w:p>
    <w:p>
      <w:pPr>
        <w:spacing w:line="576" w:lineRule="exact"/>
        <w:ind w:firstLine="640" w:firstLineChars="200"/>
        <w:rPr>
          <w:rStyle w:val="6"/>
          <w:rFonts w:hint="eastAsia" w:hAnsi="仿宋_GB2312" w:eastAsia="仿宋_GB2312"/>
          <w:sz w:val="32"/>
          <w:szCs w:val="32"/>
          <w:lang w:eastAsia="zh-CN"/>
        </w:rPr>
      </w:pPr>
      <w:r>
        <w:rPr>
          <w:rStyle w:val="6"/>
          <w:rFonts w:hint="eastAsia" w:hAnsi="仿宋_GB2312"/>
          <w:sz w:val="32"/>
          <w:szCs w:val="32"/>
        </w:rPr>
        <w:t xml:space="preserve">    社会事务综合服务中心：社会救助、低保发放等；计划生育政策、法规咨询服务，生育证、流动人口证发放等；组织开展各种文化娱乐活动，搜集整理及保护本镇民间文化艺术遗产，宣传党的路线、方针、政策，办好本镇宣传工作等。</w:t>
      </w:r>
    </w:p>
    <w:p>
      <w:pPr>
        <w:spacing w:line="576" w:lineRule="exact"/>
        <w:ind w:firstLine="640" w:firstLineChars="200"/>
        <w:rPr>
          <w:rStyle w:val="6"/>
          <w:rFonts w:hint="eastAsia" w:hAnsi="仿宋_GB2312" w:eastAsia="仿宋_GB2312"/>
          <w:sz w:val="32"/>
          <w:szCs w:val="32"/>
          <w:lang w:eastAsia="zh-CN"/>
        </w:rPr>
      </w:pPr>
      <w:r>
        <w:rPr>
          <w:rStyle w:val="6"/>
          <w:rFonts w:hint="eastAsia" w:hAnsi="仿宋_GB2312"/>
          <w:sz w:val="32"/>
          <w:szCs w:val="32"/>
        </w:rPr>
        <w:t xml:space="preserve">    政务服务中心：宣传、贯彻国家相关法律、法规、方针政策，组织编制、实施村镇规划和年度建设计划，加强村镇规划建设管理和监督等。</w:t>
      </w:r>
    </w:p>
    <w:p>
      <w:pPr>
        <w:spacing w:line="576" w:lineRule="exact"/>
        <w:ind w:firstLine="640" w:firstLineChars="200"/>
        <w:rPr>
          <w:rStyle w:val="6"/>
          <w:rFonts w:hint="eastAsia" w:hAnsi="仿宋_GB2312" w:eastAsia="仿宋_GB2312"/>
          <w:sz w:val="32"/>
          <w:szCs w:val="32"/>
          <w:lang w:eastAsia="zh-CN"/>
        </w:rPr>
      </w:pPr>
      <w:r>
        <w:rPr>
          <w:rStyle w:val="6"/>
          <w:rFonts w:hint="eastAsia" w:hAnsi="仿宋_GB2312"/>
          <w:sz w:val="32"/>
          <w:szCs w:val="32"/>
        </w:rPr>
        <w:t xml:space="preserve">    农业综合服务中心：宣传国家产业方面政策，农作物新品种、新技术推广服务等。</w:t>
      </w:r>
    </w:p>
    <w:p>
      <w:pPr>
        <w:spacing w:line="576" w:lineRule="exact"/>
        <w:ind w:firstLine="640" w:firstLineChars="200"/>
        <w:rPr>
          <w:rStyle w:val="6"/>
          <w:rFonts w:hAnsi="仿宋_GB2312"/>
          <w:sz w:val="32"/>
          <w:szCs w:val="32"/>
        </w:rPr>
      </w:pPr>
      <w:r>
        <w:rPr>
          <w:rStyle w:val="6"/>
          <w:rFonts w:hint="eastAsia" w:hAnsi="仿宋_GB2312"/>
          <w:sz w:val="32"/>
          <w:szCs w:val="32"/>
        </w:rPr>
        <w:t xml:space="preserve">    综合执法大队：认真贯彻落实国家相关政策、法律、法规、及相关文件精神，加强对安全生产工作的组织领导和管理，确保安全生产工作正常有序开展，按规定要求上报事故，完成其他安全工作任务等。</w:t>
      </w:r>
    </w:p>
    <w:p>
      <w:pPr>
        <w:numPr>
          <w:ilvl w:val="0"/>
          <w:numId w:val="1"/>
        </w:numPr>
        <w:spacing w:line="576" w:lineRule="exact"/>
        <w:ind w:left="640" w:left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机构设置</w:t>
      </w:r>
    </w:p>
    <w:p>
      <w:pPr>
        <w:spacing w:line="576" w:lineRule="exact"/>
        <w:ind w:firstLine="640" w:firstLineChars="200"/>
        <w:rPr>
          <w:rStyle w:val="6"/>
          <w:rFonts w:hAnsi="仿宋_GB2312"/>
          <w:sz w:val="32"/>
          <w:szCs w:val="32"/>
        </w:rPr>
      </w:pPr>
      <w:r>
        <w:rPr>
          <w:rStyle w:val="6"/>
          <w:rFonts w:hint="eastAsia" w:hAnsi="仿宋_GB2312"/>
          <w:sz w:val="32"/>
          <w:szCs w:val="32"/>
        </w:rPr>
        <w:t>2020年城郊街道共辖10个村（社区）、193个居民小组，街道总人口7.75万，现有村（社区）干部55人。街道办事处及其工作机构分设机关、一所三中心及一队，即办事处、司法所、社会事务综合服务中心、农业综合服务中心、政务服务中心、综合行政执法队。街道办事处财政供养实有在职122人，其中：行政人员51人（工勤人员算行政）、全额事业人员41人、差额事业人员30人。退休51人。</w:t>
      </w:r>
    </w:p>
    <w:p>
      <w:pPr>
        <w:spacing w:line="576" w:lineRule="exact"/>
        <w:ind w:firstLine="643" w:firstLineChars="200"/>
        <w:rPr>
          <w:rStyle w:val="6"/>
          <w:rFonts w:hAnsi="仿宋_GB2312"/>
          <w:sz w:val="32"/>
          <w:szCs w:val="32"/>
        </w:rPr>
      </w:pPr>
      <w:r>
        <w:rPr>
          <w:rStyle w:val="6"/>
          <w:rFonts w:hint="eastAsia" w:ascii="楷体_GB2312" w:hAnsi="楷体_GB2312" w:eastAsia="楷体_GB2312" w:cs="楷体_GB2312"/>
          <w:b/>
          <w:bCs/>
          <w:sz w:val="32"/>
          <w:szCs w:val="32"/>
        </w:rPr>
        <w:t>（三）2020年办事处工作目标：</w:t>
      </w:r>
      <w:r>
        <w:rPr>
          <w:rStyle w:val="6"/>
          <w:rFonts w:hint="eastAsia" w:hAnsi="仿宋_GB2312"/>
          <w:sz w:val="32"/>
          <w:szCs w:val="32"/>
        </w:rPr>
        <w:t>2020年在宁乡市委、市政府坚强领导下，城郊街道高举习近平新时代中国特色社会主义思想伟大旗帜，认真贯彻落实中央、省委、长沙市委和宁乡市委工作会议精神，心往一处想、劲往一处使，众志成城、奋勇拼搏，在经济社会高质量发展的道路上迈出了坚实步伐，“宁乡门户，大美城郊”正雏形初现，逐梦起航。</w:t>
      </w:r>
    </w:p>
    <w:p>
      <w:pPr>
        <w:spacing w:line="576" w:lineRule="exact"/>
        <w:ind w:firstLine="611" w:firstLineChars="200"/>
        <w:rPr>
          <w:rStyle w:val="6"/>
          <w:rFonts w:ascii="楷体_GB2312" w:hAnsi="楷体_GB2312" w:eastAsia="楷体_GB2312" w:cs="楷体_GB2312"/>
          <w:b/>
          <w:bCs/>
          <w:w w:val="95"/>
          <w:sz w:val="32"/>
          <w:szCs w:val="32"/>
        </w:rPr>
      </w:pPr>
      <w:r>
        <w:rPr>
          <w:rStyle w:val="6"/>
          <w:rFonts w:hint="eastAsia" w:ascii="楷体_GB2312" w:hAnsi="楷体_GB2312" w:eastAsia="楷体_GB2312" w:cs="楷体_GB2312"/>
          <w:b/>
          <w:bCs/>
          <w:w w:val="95"/>
          <w:sz w:val="32"/>
          <w:szCs w:val="32"/>
        </w:rPr>
        <w:t>（四）部门整体支出规模、使用方向和主要内容、涉及范围等。</w:t>
      </w:r>
    </w:p>
    <w:p>
      <w:pPr>
        <w:spacing w:line="576" w:lineRule="exact"/>
        <w:ind w:left="640" w:leftChars="200"/>
        <w:rPr>
          <w:rStyle w:val="6"/>
          <w:rFonts w:hAnsi="仿宋_GB2312"/>
          <w:sz w:val="32"/>
          <w:szCs w:val="32"/>
        </w:rPr>
      </w:pPr>
      <w:r>
        <w:rPr>
          <w:rStyle w:val="6"/>
          <w:rFonts w:hint="eastAsia" w:hAnsi="仿宋_GB2312"/>
          <w:sz w:val="32"/>
          <w:szCs w:val="32"/>
        </w:rPr>
        <w:t>1、收入支出预算安排情况。</w:t>
      </w:r>
    </w:p>
    <w:p>
      <w:pPr>
        <w:spacing w:line="576" w:lineRule="exact"/>
        <w:ind w:firstLine="640" w:firstLineChars="200"/>
        <w:rPr>
          <w:rStyle w:val="6"/>
          <w:rFonts w:hint="eastAsia" w:hAnsi="仿宋_GB2312"/>
          <w:sz w:val="32"/>
          <w:szCs w:val="32"/>
        </w:rPr>
      </w:pPr>
      <w:r>
        <w:rPr>
          <w:rStyle w:val="6"/>
          <w:rFonts w:hint="eastAsia" w:hAnsi="仿宋_GB2312"/>
          <w:sz w:val="32"/>
          <w:szCs w:val="32"/>
        </w:rPr>
        <w:t>2020年收支决算整体情况，本年决算收入合计7420.06万元，为年初预算6775.58万元的109.5%，其中：一般公共财政预算拨款4596.43万元，政府性基金补助收入9.3万元，其他收入（非税特设等专项资金）2814</w:t>
      </w:r>
      <w:r>
        <w:rPr>
          <w:rStyle w:val="6"/>
          <w:rFonts w:hint="eastAsia" w:hAnsi="仿宋_GB2312" w:eastAsia="仿宋_GB2312"/>
          <w:sz w:val="32"/>
          <w:szCs w:val="32"/>
          <w:lang w:val="en-US" w:eastAsia="zh-CN"/>
        </w:rPr>
        <w:t>.33万元。</w:t>
      </w:r>
      <w:r>
        <w:rPr>
          <w:rStyle w:val="6"/>
          <w:rFonts w:hint="eastAsia" w:hAnsi="仿宋_GB2312"/>
          <w:sz w:val="32"/>
          <w:szCs w:val="32"/>
        </w:rPr>
        <w:t>本年决算支出合计7420.06万元，为年初预算6775.58万元的109.5%，其中：基本支出2136.58万元，项目支出5283.48万元。</w:t>
      </w:r>
    </w:p>
    <w:p>
      <w:pPr>
        <w:spacing w:line="576" w:lineRule="exact"/>
        <w:ind w:firstLine="640" w:firstLineChars="200"/>
        <w:rPr>
          <w:rStyle w:val="6"/>
          <w:rFonts w:hint="eastAsia" w:hAnsi="仿宋_GB2312"/>
          <w:sz w:val="32"/>
          <w:szCs w:val="32"/>
        </w:rPr>
      </w:pPr>
    </w:p>
    <w:tbl>
      <w:tblPr>
        <w:tblStyle w:val="3"/>
        <w:tblW w:w="7480" w:type="dxa"/>
        <w:tblInd w:w="638" w:type="dxa"/>
        <w:tblLayout w:type="autofit"/>
        <w:tblCellMar>
          <w:top w:w="0" w:type="dxa"/>
          <w:left w:w="108" w:type="dxa"/>
          <w:bottom w:w="0" w:type="dxa"/>
          <w:right w:w="108" w:type="dxa"/>
        </w:tblCellMar>
      </w:tblPr>
      <w:tblGrid>
        <w:gridCol w:w="1030"/>
        <w:gridCol w:w="950"/>
        <w:gridCol w:w="1320"/>
        <w:gridCol w:w="960"/>
        <w:gridCol w:w="960"/>
        <w:gridCol w:w="1300"/>
        <w:gridCol w:w="960"/>
      </w:tblGrid>
      <w:tr>
        <w:tblPrEx>
          <w:tblCellMar>
            <w:top w:w="0" w:type="dxa"/>
            <w:left w:w="108" w:type="dxa"/>
            <w:bottom w:w="0" w:type="dxa"/>
            <w:right w:w="108" w:type="dxa"/>
          </w:tblCellMar>
        </w:tblPrEx>
        <w:trPr>
          <w:trHeight w:val="255" w:hRule="atLeast"/>
        </w:trPr>
        <w:tc>
          <w:tcPr>
            <w:tcW w:w="103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预算情况</w:t>
            </w:r>
          </w:p>
        </w:tc>
        <w:tc>
          <w:tcPr>
            <w:tcW w:w="9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合计</w:t>
            </w:r>
          </w:p>
        </w:tc>
        <w:tc>
          <w:tcPr>
            <w:tcW w:w="324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基本支出</w:t>
            </w:r>
          </w:p>
        </w:tc>
        <w:tc>
          <w:tcPr>
            <w:tcW w:w="22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项目支出</w:t>
            </w:r>
          </w:p>
        </w:tc>
      </w:tr>
      <w:tr>
        <w:tblPrEx>
          <w:tblCellMar>
            <w:top w:w="0" w:type="dxa"/>
            <w:left w:w="108" w:type="dxa"/>
            <w:bottom w:w="0" w:type="dxa"/>
            <w:right w:w="108" w:type="dxa"/>
          </w:tblCellMar>
        </w:tblPrEx>
        <w:trPr>
          <w:trHeight w:val="255" w:hRule="atLeast"/>
        </w:trPr>
        <w:tc>
          <w:tcPr>
            <w:tcW w:w="103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0"/>
                <w:szCs w:val="20"/>
              </w:rPr>
            </w:pPr>
          </w:p>
        </w:tc>
        <w:tc>
          <w:tcPr>
            <w:tcW w:w="9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0"/>
                <w:szCs w:val="20"/>
              </w:rPr>
            </w:pP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小计（万元）</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人员经费</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公用经费</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小计（万元）</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部门预算</w:t>
            </w:r>
          </w:p>
        </w:tc>
      </w:tr>
      <w:tr>
        <w:tblPrEx>
          <w:tblCellMar>
            <w:top w:w="0" w:type="dxa"/>
            <w:left w:w="108" w:type="dxa"/>
            <w:bottom w:w="0" w:type="dxa"/>
            <w:right w:w="108" w:type="dxa"/>
          </w:tblCellMar>
        </w:tblPrEx>
        <w:trPr>
          <w:trHeight w:val="465" w:hRule="atLeast"/>
        </w:trPr>
        <w:tc>
          <w:tcPr>
            <w:tcW w:w="103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年初财政拨款预算</w:t>
            </w:r>
          </w:p>
        </w:tc>
        <w:tc>
          <w:tcPr>
            <w:tcW w:w="9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1783.02</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1500.52</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1345.52</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155</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282.5</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282.5</w:t>
            </w:r>
          </w:p>
        </w:tc>
      </w:tr>
      <w:tr>
        <w:tblPrEx>
          <w:tblCellMar>
            <w:top w:w="0" w:type="dxa"/>
            <w:left w:w="108" w:type="dxa"/>
            <w:bottom w:w="0" w:type="dxa"/>
            <w:right w:w="108" w:type="dxa"/>
          </w:tblCellMar>
        </w:tblPrEx>
        <w:trPr>
          <w:trHeight w:val="465" w:hRule="atLeast"/>
        </w:trPr>
        <w:tc>
          <w:tcPr>
            <w:tcW w:w="103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年初预算</w:t>
            </w:r>
          </w:p>
        </w:tc>
        <w:tc>
          <w:tcPr>
            <w:tcW w:w="9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6775.58</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2368.58</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1879.84</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488.74</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4407</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4407</w:t>
            </w:r>
          </w:p>
        </w:tc>
      </w:tr>
      <w:tr>
        <w:tblPrEx>
          <w:tblCellMar>
            <w:top w:w="0" w:type="dxa"/>
            <w:left w:w="108" w:type="dxa"/>
            <w:bottom w:w="0" w:type="dxa"/>
            <w:right w:w="108" w:type="dxa"/>
          </w:tblCellMar>
        </w:tblPrEx>
        <w:trPr>
          <w:trHeight w:val="465" w:hRule="atLeast"/>
        </w:trPr>
        <w:tc>
          <w:tcPr>
            <w:tcW w:w="103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决算支出</w:t>
            </w:r>
          </w:p>
        </w:tc>
        <w:tc>
          <w:tcPr>
            <w:tcW w:w="9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7420.06</w:t>
            </w:r>
          </w:p>
        </w:tc>
        <w:tc>
          <w:tcPr>
            <w:tcW w:w="1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2136.58</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Arial"/>
                <w:color w:val="000000"/>
                <w:kern w:val="0"/>
                <w:sz w:val="20"/>
                <w:szCs w:val="20"/>
                <w:lang w:val="en-US" w:eastAsia="zh-CN"/>
              </w:rPr>
            </w:pPr>
            <w:r>
              <w:rPr>
                <w:rFonts w:hint="eastAsia" w:ascii="宋体" w:hAnsi="宋体" w:cs="Arial"/>
                <w:color w:val="000000"/>
                <w:kern w:val="0"/>
                <w:sz w:val="20"/>
                <w:szCs w:val="20"/>
              </w:rPr>
              <w:t>1979.</w:t>
            </w:r>
            <w:r>
              <w:rPr>
                <w:rFonts w:hint="eastAsia" w:ascii="宋体" w:hAnsi="宋体" w:cs="Arial"/>
                <w:color w:val="000000"/>
                <w:kern w:val="0"/>
                <w:sz w:val="20"/>
                <w:szCs w:val="20"/>
                <w:lang w:val="en-US" w:eastAsia="zh-CN"/>
              </w:rPr>
              <w:t>69</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Arial"/>
                <w:color w:val="000000"/>
                <w:kern w:val="0"/>
                <w:sz w:val="20"/>
                <w:szCs w:val="20"/>
                <w:lang w:eastAsia="zh-CN"/>
              </w:rPr>
            </w:pPr>
            <w:r>
              <w:rPr>
                <w:rFonts w:hint="eastAsia" w:ascii="宋体" w:hAnsi="宋体" w:cs="Arial"/>
                <w:color w:val="000000"/>
                <w:kern w:val="0"/>
                <w:sz w:val="20"/>
                <w:szCs w:val="20"/>
              </w:rPr>
              <w:t>156.8</w:t>
            </w:r>
            <w:r>
              <w:rPr>
                <w:rFonts w:hint="eastAsia" w:ascii="宋体" w:hAnsi="宋体" w:cs="Arial"/>
                <w:color w:val="000000"/>
                <w:kern w:val="0"/>
                <w:sz w:val="20"/>
                <w:szCs w:val="20"/>
                <w:lang w:val="en-US" w:eastAsia="zh-CN"/>
              </w:rPr>
              <w:t>9</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5283.48</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5283.48</w:t>
            </w:r>
          </w:p>
        </w:tc>
      </w:tr>
    </w:tbl>
    <w:p>
      <w:pPr>
        <w:spacing w:line="576" w:lineRule="exact"/>
        <w:ind w:firstLine="640" w:firstLineChars="200"/>
        <w:rPr>
          <w:rStyle w:val="6"/>
          <w:rFonts w:hAnsi="仿宋_GB2312"/>
          <w:sz w:val="32"/>
          <w:szCs w:val="32"/>
        </w:rPr>
      </w:pPr>
    </w:p>
    <w:p>
      <w:pPr>
        <w:spacing w:line="576" w:lineRule="exact"/>
        <w:ind w:firstLine="640" w:firstLineChars="200"/>
        <w:rPr>
          <w:rStyle w:val="6"/>
          <w:rFonts w:hAnsi="仿宋_GB2312"/>
          <w:sz w:val="32"/>
          <w:szCs w:val="32"/>
        </w:rPr>
      </w:pPr>
      <w:r>
        <w:rPr>
          <w:rStyle w:val="6"/>
          <w:rFonts w:hint="eastAsia" w:hAnsi="仿宋_GB2312"/>
          <w:sz w:val="32"/>
          <w:szCs w:val="32"/>
        </w:rPr>
        <w:t>2.使用方向和主要内容、涉及范围</w:t>
      </w:r>
    </w:p>
    <w:p>
      <w:pPr>
        <w:spacing w:line="576" w:lineRule="exact"/>
        <w:ind w:firstLine="640" w:firstLineChars="200"/>
        <w:rPr>
          <w:rStyle w:val="6"/>
          <w:rFonts w:hAnsi="仿宋_GB2312"/>
          <w:sz w:val="32"/>
          <w:szCs w:val="32"/>
        </w:rPr>
      </w:pPr>
      <w:r>
        <w:rPr>
          <w:rStyle w:val="6"/>
          <w:rFonts w:hint="eastAsia" w:hAnsi="仿宋_GB2312"/>
          <w:sz w:val="32"/>
          <w:szCs w:val="32"/>
        </w:rPr>
        <w:t>2020年城郊街道办事处预算支出主要包括人员经费支出和公用经费支出及项目支出。</w:t>
      </w:r>
    </w:p>
    <w:p>
      <w:pPr>
        <w:spacing w:line="576" w:lineRule="exact"/>
        <w:ind w:firstLine="640" w:firstLineChars="200"/>
        <w:rPr>
          <w:rStyle w:val="6"/>
          <w:rFonts w:ascii="黑体" w:hAnsi="黑体" w:eastAsia="黑体" w:cs="黑体"/>
          <w:sz w:val="32"/>
          <w:szCs w:val="32"/>
        </w:rPr>
      </w:pPr>
      <w:r>
        <w:rPr>
          <w:rStyle w:val="6"/>
          <w:rFonts w:hint="eastAsia" w:ascii="黑体" w:hAnsi="黑体" w:eastAsia="黑体" w:cs="黑体"/>
          <w:sz w:val="32"/>
          <w:szCs w:val="32"/>
        </w:rPr>
        <w:t>二、部门整体支出管理及使用情况</w:t>
      </w:r>
    </w:p>
    <w:p>
      <w:pPr>
        <w:spacing w:line="576" w:lineRule="exact"/>
        <w:ind w:firstLine="643" w:firstLine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（一）基本支出</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1.基本支出管理</w:t>
      </w:r>
    </w:p>
    <w:p>
      <w:pPr>
        <w:spacing w:line="576" w:lineRule="exact"/>
        <w:ind w:firstLine="640" w:firstLineChars="200"/>
        <w:rPr>
          <w:rStyle w:val="6"/>
          <w:rFonts w:hAnsi="仿宋_GB2312"/>
          <w:sz w:val="32"/>
          <w:szCs w:val="32"/>
        </w:rPr>
      </w:pPr>
      <w:r>
        <w:rPr>
          <w:rStyle w:val="6"/>
          <w:rFonts w:hint="eastAsia" w:hAnsi="仿宋_GB2312"/>
          <w:sz w:val="32"/>
          <w:szCs w:val="32"/>
        </w:rPr>
        <w:t>根据《中华人民共和国预算法》《财政部关于财政支绩效评价管理暂行管理办法》《宁乡市乡镇财政资金监管实施办法》等上级相关文件的要求，城郊街道办事处制定了《2020年度城郊街道机关财务管理制度》，明确了三公经费、固定资产管理、预算资金绩效管理、财政性专项资金监督管理、财务报账事前审批细则和流程，根据以上要求加强我街道财务监督和财务管理。</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2.基本支出使用情况</w:t>
      </w:r>
    </w:p>
    <w:p>
      <w:pPr>
        <w:spacing w:line="576" w:lineRule="exact"/>
        <w:ind w:firstLine="640" w:firstLineChars="200"/>
        <w:rPr>
          <w:rStyle w:val="6"/>
          <w:rFonts w:hAnsi="仿宋_GB2312"/>
          <w:sz w:val="32"/>
          <w:szCs w:val="32"/>
        </w:rPr>
      </w:pPr>
      <w:r>
        <w:rPr>
          <w:rStyle w:val="6"/>
          <w:rFonts w:hint="eastAsia" w:hAnsi="仿宋_GB2312"/>
          <w:sz w:val="32"/>
          <w:szCs w:val="32"/>
        </w:rPr>
        <w:t>本年一般公共预算财政拨款收入4596.43万元，支出4596.43万元，其中基本支出2125.06万元，项目支出2471.37万元。基本支出按经济分类其中人员经费1973.17万元，日常公用经费151.89万元。</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3.“三公”经费情况</w:t>
      </w:r>
    </w:p>
    <w:p>
      <w:pPr>
        <w:spacing w:line="576" w:lineRule="exact"/>
        <w:ind w:firstLine="640" w:firstLineChars="200"/>
        <w:rPr>
          <w:rStyle w:val="6"/>
          <w:rFonts w:hAnsi="仿宋_GB2312"/>
          <w:sz w:val="32"/>
          <w:szCs w:val="32"/>
        </w:rPr>
      </w:pPr>
      <w:r>
        <w:rPr>
          <w:rStyle w:val="6"/>
          <w:rFonts w:hint="eastAsia" w:hAnsi="仿宋_GB2312"/>
          <w:sz w:val="32"/>
          <w:szCs w:val="32"/>
        </w:rPr>
        <w:t>2020年“三公”经费预算数为23.85万元，其中，公务接待费19.85万元，公务用车购置及运行费4万元（其中，公务用车运行费4万元），因公出国（境）费0万元。2020年“三公”经费决算数为8.33万元，其中，公务接待费4.33万元，公务用车购置及运行费4万元（其中，公务用车运行费4万元），因公出国（境）费0万元。主要是压减三公经费，公务接待费减少。</w:t>
      </w:r>
    </w:p>
    <w:p>
      <w:pPr>
        <w:spacing w:line="576" w:lineRule="exact"/>
        <w:ind w:firstLine="643" w:firstLine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项目支出</w:t>
      </w:r>
    </w:p>
    <w:p>
      <w:pPr>
        <w:spacing w:line="576" w:lineRule="exact"/>
        <w:ind w:firstLine="640" w:firstLineChars="200"/>
        <w:rPr>
          <w:rStyle w:val="6"/>
          <w:rFonts w:hAnsi="仿宋_GB2312"/>
          <w:sz w:val="32"/>
          <w:szCs w:val="32"/>
        </w:rPr>
      </w:pPr>
      <w:r>
        <w:rPr>
          <w:rStyle w:val="6"/>
          <w:rFonts w:hint="eastAsia" w:hAnsi="仿宋_GB2312"/>
          <w:sz w:val="32"/>
          <w:szCs w:val="32"/>
        </w:rPr>
        <w:t>2020年度项目资金共5283.48万元，其中财政拨款2480.67万元，其他资金2802.81万元。</w:t>
      </w:r>
    </w:p>
    <w:tbl>
      <w:tblPr>
        <w:tblStyle w:val="3"/>
        <w:tblW w:w="8772" w:type="dxa"/>
        <w:tblInd w:w="0" w:type="dxa"/>
        <w:tblLayout w:type="fixed"/>
        <w:tblCellMar>
          <w:top w:w="0" w:type="dxa"/>
          <w:left w:w="108" w:type="dxa"/>
          <w:bottom w:w="0" w:type="dxa"/>
          <w:right w:w="108" w:type="dxa"/>
        </w:tblCellMar>
      </w:tblPr>
      <w:tblGrid>
        <w:gridCol w:w="1197"/>
        <w:gridCol w:w="924"/>
        <w:gridCol w:w="216"/>
        <w:gridCol w:w="776"/>
        <w:gridCol w:w="178"/>
        <w:gridCol w:w="936"/>
        <w:gridCol w:w="915"/>
        <w:gridCol w:w="1050"/>
        <w:gridCol w:w="1185"/>
        <w:gridCol w:w="1395"/>
      </w:tblGrid>
      <w:tr>
        <w:tblPrEx>
          <w:tblCellMar>
            <w:top w:w="0" w:type="dxa"/>
            <w:left w:w="108" w:type="dxa"/>
            <w:bottom w:w="0" w:type="dxa"/>
            <w:right w:w="108" w:type="dxa"/>
          </w:tblCellMar>
        </w:tblPrEx>
        <w:trPr>
          <w:trHeight w:val="312" w:hRule="atLeast"/>
        </w:trPr>
        <w:tc>
          <w:tcPr>
            <w:tcW w:w="8772" w:type="dxa"/>
            <w:gridSpan w:val="10"/>
            <w:vMerge w:val="restart"/>
            <w:tcBorders>
              <w:top w:val="nil"/>
              <w:left w:val="nil"/>
              <w:bottom w:val="nil"/>
              <w:right w:val="nil"/>
            </w:tcBorders>
            <w:shd w:val="clear" w:color="auto" w:fill="auto"/>
            <w:noWrap/>
            <w:vAlign w:val="center"/>
          </w:tcPr>
          <w:p>
            <w:pPr>
              <w:widowControl/>
              <w:rPr>
                <w:rFonts w:ascii="宋体" w:hAnsi="宋体" w:cs="Arial"/>
                <w:color w:val="000000"/>
                <w:kern w:val="0"/>
                <w:sz w:val="24"/>
              </w:rPr>
            </w:pPr>
          </w:p>
        </w:tc>
      </w:tr>
      <w:tr>
        <w:tblPrEx>
          <w:tblCellMar>
            <w:top w:w="0" w:type="dxa"/>
            <w:left w:w="108" w:type="dxa"/>
            <w:bottom w:w="0" w:type="dxa"/>
            <w:right w:w="108" w:type="dxa"/>
          </w:tblCellMar>
        </w:tblPrEx>
        <w:trPr>
          <w:trHeight w:val="312" w:hRule="atLeast"/>
        </w:trPr>
        <w:tc>
          <w:tcPr>
            <w:tcW w:w="8772" w:type="dxa"/>
            <w:gridSpan w:val="10"/>
            <w:vMerge w:val="continue"/>
            <w:tcBorders>
              <w:top w:val="nil"/>
              <w:left w:val="nil"/>
              <w:bottom w:val="nil"/>
              <w:right w:val="nil"/>
            </w:tcBorders>
            <w:vAlign w:val="center"/>
          </w:tcPr>
          <w:p>
            <w:pPr>
              <w:widowControl/>
              <w:jc w:val="left"/>
              <w:rPr>
                <w:rFonts w:ascii="宋体" w:hAnsi="宋体" w:cs="Arial"/>
                <w:color w:val="000000"/>
                <w:kern w:val="0"/>
                <w:sz w:val="24"/>
              </w:rPr>
            </w:pPr>
          </w:p>
        </w:tc>
      </w:tr>
      <w:tr>
        <w:tblPrEx>
          <w:tblCellMar>
            <w:top w:w="0" w:type="dxa"/>
            <w:left w:w="108" w:type="dxa"/>
            <w:bottom w:w="0" w:type="dxa"/>
            <w:right w:w="108" w:type="dxa"/>
          </w:tblCellMar>
        </w:tblPrEx>
        <w:trPr>
          <w:trHeight w:val="300" w:hRule="atLeast"/>
        </w:trPr>
        <w:tc>
          <w:tcPr>
            <w:tcW w:w="1197" w:type="dxa"/>
            <w:tcBorders>
              <w:top w:val="nil"/>
              <w:left w:val="nil"/>
              <w:bottom w:val="single" w:color="auto" w:sz="4" w:space="0"/>
              <w:right w:val="nil"/>
            </w:tcBorders>
            <w:shd w:val="clear" w:color="auto" w:fill="auto"/>
            <w:noWrap/>
            <w:vAlign w:val="bottom"/>
          </w:tcPr>
          <w:p>
            <w:pPr>
              <w:widowControl/>
              <w:jc w:val="left"/>
              <w:rPr>
                <w:rFonts w:ascii="Arial" w:hAnsi="Arial" w:cs="Arial"/>
                <w:color w:val="000000"/>
                <w:kern w:val="0"/>
                <w:sz w:val="24"/>
              </w:rPr>
            </w:pPr>
          </w:p>
        </w:tc>
        <w:tc>
          <w:tcPr>
            <w:tcW w:w="1140" w:type="dxa"/>
            <w:gridSpan w:val="2"/>
            <w:tcBorders>
              <w:top w:val="nil"/>
              <w:left w:val="nil"/>
              <w:bottom w:val="single" w:color="auto" w:sz="4" w:space="0"/>
              <w:right w:val="nil"/>
            </w:tcBorders>
            <w:shd w:val="clear" w:color="auto" w:fill="auto"/>
            <w:noWrap/>
            <w:vAlign w:val="bottom"/>
          </w:tcPr>
          <w:p>
            <w:pPr>
              <w:widowControl/>
              <w:jc w:val="left"/>
              <w:rPr>
                <w:rFonts w:ascii="Arial" w:hAnsi="Arial" w:cs="Arial"/>
                <w:color w:val="000000"/>
                <w:kern w:val="0"/>
                <w:sz w:val="24"/>
              </w:rPr>
            </w:pPr>
          </w:p>
        </w:tc>
        <w:tc>
          <w:tcPr>
            <w:tcW w:w="954" w:type="dxa"/>
            <w:gridSpan w:val="2"/>
            <w:tcBorders>
              <w:top w:val="nil"/>
              <w:left w:val="nil"/>
              <w:bottom w:val="single" w:color="auto" w:sz="4" w:space="0"/>
              <w:right w:val="nil"/>
            </w:tcBorders>
            <w:shd w:val="clear" w:color="auto" w:fill="auto"/>
            <w:noWrap/>
            <w:vAlign w:val="bottom"/>
          </w:tcPr>
          <w:p>
            <w:pPr>
              <w:widowControl/>
              <w:jc w:val="left"/>
              <w:rPr>
                <w:rFonts w:ascii="Arial" w:hAnsi="Arial" w:cs="Arial"/>
                <w:color w:val="000000"/>
                <w:kern w:val="0"/>
                <w:sz w:val="24"/>
              </w:rPr>
            </w:pPr>
          </w:p>
        </w:tc>
        <w:tc>
          <w:tcPr>
            <w:tcW w:w="936" w:type="dxa"/>
            <w:tcBorders>
              <w:top w:val="nil"/>
              <w:left w:val="nil"/>
              <w:bottom w:val="single" w:color="auto" w:sz="4" w:space="0"/>
              <w:right w:val="nil"/>
            </w:tcBorders>
            <w:shd w:val="clear" w:color="auto" w:fill="auto"/>
            <w:noWrap/>
            <w:vAlign w:val="bottom"/>
          </w:tcPr>
          <w:p>
            <w:pPr>
              <w:widowControl/>
              <w:jc w:val="left"/>
              <w:rPr>
                <w:rFonts w:ascii="Arial" w:hAnsi="Arial" w:cs="Arial"/>
                <w:color w:val="000000"/>
                <w:kern w:val="0"/>
                <w:sz w:val="24"/>
              </w:rPr>
            </w:pPr>
          </w:p>
        </w:tc>
        <w:tc>
          <w:tcPr>
            <w:tcW w:w="915" w:type="dxa"/>
            <w:tcBorders>
              <w:top w:val="nil"/>
              <w:left w:val="nil"/>
              <w:bottom w:val="single" w:color="auto" w:sz="4" w:space="0"/>
              <w:right w:val="nil"/>
            </w:tcBorders>
            <w:shd w:val="clear" w:color="auto" w:fill="auto"/>
            <w:noWrap/>
            <w:vAlign w:val="bottom"/>
          </w:tcPr>
          <w:p>
            <w:pPr>
              <w:widowControl/>
              <w:jc w:val="left"/>
              <w:rPr>
                <w:rFonts w:ascii="Arial" w:hAnsi="Arial" w:cs="Arial"/>
                <w:color w:val="000000"/>
                <w:kern w:val="0"/>
                <w:sz w:val="24"/>
              </w:rPr>
            </w:pPr>
          </w:p>
        </w:tc>
        <w:tc>
          <w:tcPr>
            <w:tcW w:w="3630" w:type="dxa"/>
            <w:gridSpan w:val="3"/>
            <w:tcBorders>
              <w:top w:val="nil"/>
              <w:left w:val="nil"/>
              <w:bottom w:val="single" w:color="auto" w:sz="4" w:space="0"/>
              <w:right w:val="nil"/>
            </w:tcBorders>
            <w:shd w:val="clear" w:color="auto" w:fill="auto"/>
            <w:noWrap/>
            <w:vAlign w:val="bottom"/>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金额单位：万元</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3945" w:type="dxa"/>
            <w:gridSpan w:val="6"/>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资金来源</w:t>
            </w:r>
          </w:p>
        </w:tc>
        <w:tc>
          <w:tcPr>
            <w:tcW w:w="3630" w:type="dxa"/>
            <w:gridSpan w:val="3"/>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支出数</w:t>
            </w:r>
          </w:p>
        </w:tc>
      </w:tr>
      <w:tr>
        <w:tblPrEx>
          <w:tblCellMar>
            <w:top w:w="0" w:type="dxa"/>
            <w:left w:w="108" w:type="dxa"/>
            <w:bottom w:w="0" w:type="dxa"/>
            <w:right w:w="108" w:type="dxa"/>
          </w:tblCellMar>
        </w:tblPrEx>
        <w:trPr>
          <w:trHeight w:val="308" w:hRule="atLeast"/>
        </w:trPr>
        <w:tc>
          <w:tcPr>
            <w:tcW w:w="1197"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924"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106"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w:t>
            </w:r>
          </w:p>
        </w:tc>
        <w:tc>
          <w:tcPr>
            <w:tcW w:w="915"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其他资金</w:t>
            </w:r>
          </w:p>
        </w:tc>
        <w:tc>
          <w:tcPr>
            <w:tcW w:w="1050"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185"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w:t>
            </w:r>
          </w:p>
        </w:tc>
        <w:tc>
          <w:tcPr>
            <w:tcW w:w="1395" w:type="dxa"/>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其他资金</w:t>
            </w:r>
          </w:p>
        </w:tc>
      </w:tr>
      <w:tr>
        <w:tblPrEx>
          <w:tblCellMar>
            <w:top w:w="0" w:type="dxa"/>
            <w:left w:w="108" w:type="dxa"/>
            <w:bottom w:w="0" w:type="dxa"/>
            <w:right w:w="108" w:type="dxa"/>
          </w:tblCellMar>
        </w:tblPrEx>
        <w:trPr>
          <w:trHeight w:val="312" w:hRule="atLeast"/>
        </w:trPr>
        <w:tc>
          <w:tcPr>
            <w:tcW w:w="11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9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992" w:type="dxa"/>
            <w:gridSpan w:val="2"/>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114" w:type="dxa"/>
            <w:gridSpan w:val="2"/>
            <w:vMerge w:val="restart"/>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其中：基本建设支出拨款</w:t>
            </w:r>
          </w:p>
        </w:tc>
        <w:tc>
          <w:tcPr>
            <w:tcW w:w="9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1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9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99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11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91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0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1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Arial"/>
                <w:color w:val="000000"/>
                <w:kern w:val="0"/>
                <w:sz w:val="16"/>
                <w:szCs w:val="16"/>
              </w:rPr>
            </w:pPr>
            <w:r>
              <w:rPr>
                <w:rFonts w:hint="eastAsia" w:ascii="宋体" w:hAnsi="宋体" w:cs="Arial"/>
                <w:color w:val="000000"/>
                <w:kern w:val="0"/>
                <w:sz w:val="16"/>
                <w:szCs w:val="16"/>
              </w:rPr>
              <w:t>—</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5,283.48</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2,480.67</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493.76</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2,802.81</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5,283.48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2,480.67</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2,802.81</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34.76</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34.76</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34.76</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34.76</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人大会议</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1.25</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1.25</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1.25</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代表工作</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2,571.07</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1,042.62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1,528.44</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2,571.07</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1,042.62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1,528.44</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非税汇缴户拨入资金</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74.55</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74.55</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74.55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74.55</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专项普查活动</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22.60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22.60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22.60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22.60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其他财政事务支出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5.86</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5.86</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5.86</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5.86</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专项业务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81.08</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78.08</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81.08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78.08</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食品安全监管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其他市场监督管理事务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7.63</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7.63</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7.63</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7.63</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 xml:space="preserve"> 社区戒毒（康复）示范点奖励、扶植经费（2019年结转）</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29.22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17.22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29.22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17.22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其他公安支出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240.00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240.00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其他普通教育支出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其他教育费附加安排的支出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92.55</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92.55</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92.55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92.55</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其他教育支出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群众文化</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15.64</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15.64</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15.64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15.64</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其他文化和旅游支出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0.20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0.20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历史名城与古迹</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其他文化旅游体育与传媒支出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2.55</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2.55</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2.55</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就业管理事务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7.39</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7.39</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7.39</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7.39</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其他人力资源和社会保障管理事务支出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0.09</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0.09</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0.09</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0.09</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基层政权建设和社区治理</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其他民政管理事务支出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32.20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7.20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32.20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7.20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其他就业补助支出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14.74</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13.88</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0.87</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14.74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13.88</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0.87</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死亡抚恤</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3.64</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3.64</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3.64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3.64</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其他优抚支出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2.53</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2.53</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2.53</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2.53</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退役士兵安置</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22.78</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14.77</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8.01</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22.78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14.77</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8.01</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军队转业干部安置</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9.42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9.42</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9.42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9.42</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老年福利</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61.43</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61.43</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61.43</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61.43</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其他社会福利支出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12.94</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12.94</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12.94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12.94</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残疾人康复</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其他残疾人事业支出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5.80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5.80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临时救助支出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12.68</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12.68</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12.68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12.68</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拥军优属</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2.98</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2.98</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2.98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2.98</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7.80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7.80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7.80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7.80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乡镇卫生院</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315.70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315.70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315.70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315.70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基本公共卫生服务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6.91</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6.91</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6.91</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6.91</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突发公共卫生事件应急处理</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110.69</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31.40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79.29</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110.69</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31.40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79.29</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其他公共卫生支出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0.36</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0.36</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0.36</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0.36</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其他计划生育事务支出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城乡医疗救助</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农村环境保护</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196.50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154.50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196.50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42.00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154.50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能源节约利用</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城管执法</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其他城乡社区公共设施支出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9.00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一般行政管理事务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科技转化与推广服务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1.61</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1.61</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1.61</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1.61</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病虫害控制</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2.20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执法监管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0.50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0.50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0.50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0.50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农村社会事业</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74.88</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47.03</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27.85</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74.88</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47.03</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27.85</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其他农业农村支出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72.04</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52.04</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72.04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52.04</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农村水利</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3.00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生产发展</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0.69</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0.69</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0.69</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0.69</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其他扶贫支出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1.82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1.82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1.82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1.82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对村民委员会和村党支部的补助</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251.46</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204.61</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46.85</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251.46</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204.61</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46.85</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公路建设</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0.27</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0.27</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0.27</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0.27</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公路养护</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18.40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13.40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18.40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13.40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其他公路水路运输支出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14.95</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10.60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4.35</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14.95</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10.60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4.35</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工业和信息产业支持</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24.72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24.72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24.72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24.72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老旧小区改造</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233.62</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233.62</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233.62</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233.62</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233.62</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其他保障性安居工程支出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260.14</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260.14</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260.14</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260.14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260.14</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其他应急管理支出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地质灾害防治</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12.30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12.30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12.30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12.30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用于社会福利的彩票公益金支出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5.00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r>
        <w:tblPrEx>
          <w:tblCellMar>
            <w:top w:w="0" w:type="dxa"/>
            <w:left w:w="108" w:type="dxa"/>
            <w:bottom w:w="0" w:type="dxa"/>
            <w:right w:w="108" w:type="dxa"/>
          </w:tblCellMar>
        </w:tblPrEx>
        <w:trPr>
          <w:trHeight w:val="308" w:hRule="atLeast"/>
        </w:trPr>
        <w:tc>
          <w:tcPr>
            <w:tcW w:w="11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16"/>
                <w:szCs w:val="16"/>
              </w:rPr>
            </w:pPr>
            <w:r>
              <w:rPr>
                <w:rFonts w:hint="eastAsia" w:ascii="宋体" w:hAnsi="宋体" w:cs="Arial"/>
                <w:color w:val="000000"/>
                <w:kern w:val="0"/>
                <w:sz w:val="16"/>
                <w:szCs w:val="16"/>
              </w:rPr>
              <w:t>其他抗疫相关支出</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4.30</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4.30</w:t>
            </w:r>
          </w:p>
        </w:tc>
        <w:tc>
          <w:tcPr>
            <w:tcW w:w="111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9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4.30</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4.30</w:t>
            </w:r>
          </w:p>
        </w:tc>
        <w:tc>
          <w:tcPr>
            <w:tcW w:w="13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16"/>
                <w:szCs w:val="16"/>
              </w:rPr>
            </w:pPr>
            <w:r>
              <w:rPr>
                <w:rFonts w:hint="eastAsia" w:ascii="宋体" w:hAnsi="宋体" w:cs="Arial"/>
                <w:color w:val="000000"/>
                <w:kern w:val="0"/>
                <w:sz w:val="16"/>
                <w:szCs w:val="16"/>
              </w:rPr>
              <w:t>0.00</w:t>
            </w:r>
          </w:p>
        </w:tc>
      </w:tr>
    </w:tbl>
    <w:p>
      <w:pPr>
        <w:spacing w:line="576" w:lineRule="exact"/>
        <w:ind w:firstLine="640" w:firstLineChars="200"/>
        <w:rPr>
          <w:rStyle w:val="6"/>
          <w:rFonts w:hAnsi="仿宋_GB2312"/>
          <w:sz w:val="32"/>
          <w:szCs w:val="32"/>
        </w:rPr>
      </w:pPr>
      <w:r>
        <w:rPr>
          <w:rStyle w:val="6"/>
          <w:rFonts w:hint="eastAsia" w:hAnsi="仿宋_GB2312"/>
          <w:sz w:val="32"/>
          <w:szCs w:val="32"/>
        </w:rPr>
        <w:t>2.项目资金全部按要求及项目建设进度落实到位。项目全程监管，按上级及项目要求推进项目实施。其中部分重点支出项目支出完成情况列示如下表：</w:t>
      </w:r>
    </w:p>
    <w:tbl>
      <w:tblPr>
        <w:tblStyle w:val="3"/>
        <w:tblW w:w="8772" w:type="dxa"/>
        <w:tblInd w:w="0" w:type="dxa"/>
        <w:tblLayout w:type="fixed"/>
        <w:tblCellMar>
          <w:top w:w="0" w:type="dxa"/>
          <w:left w:w="108" w:type="dxa"/>
          <w:bottom w:w="0" w:type="dxa"/>
          <w:right w:w="108" w:type="dxa"/>
        </w:tblCellMar>
      </w:tblPr>
      <w:tblGrid>
        <w:gridCol w:w="456"/>
        <w:gridCol w:w="2232"/>
        <w:gridCol w:w="1209"/>
        <w:gridCol w:w="3045"/>
        <w:gridCol w:w="1215"/>
        <w:gridCol w:w="615"/>
      </w:tblGrid>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序号</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项目名称</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投入资金</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项目资金使用情况</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竣工验收情况</w:t>
            </w:r>
          </w:p>
        </w:tc>
        <w:tc>
          <w:tcPr>
            <w:tcW w:w="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备注</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1</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政府一般行政管理事务</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2,571.07</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完成党建、文明创建等工作。</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cs="Arial"/>
                <w:color w:val="000000"/>
                <w:kern w:val="0"/>
                <w:sz w:val="20"/>
                <w:szCs w:val="20"/>
              </w:rPr>
            </w:pPr>
            <w:r>
              <w:rPr>
                <w:rFonts w:ascii="Arial" w:hAnsi="Arial" w:cs="Arial"/>
                <w:color w:val="000000"/>
                <w:kern w:val="0"/>
                <w:sz w:val="20"/>
                <w:szCs w:val="20"/>
              </w:rPr>
              <w:t>2</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其他公安支出</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240.00</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全街道的治安巡逻劳务支出</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3</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其他普通教育支出</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42.00</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城郊中小维修维护</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cs="Arial"/>
                <w:color w:val="000000"/>
                <w:kern w:val="0"/>
                <w:sz w:val="20"/>
                <w:szCs w:val="20"/>
              </w:rPr>
            </w:pPr>
            <w:r>
              <w:rPr>
                <w:rFonts w:ascii="Arial" w:hAnsi="Arial" w:cs="Arial"/>
                <w:color w:val="000000"/>
                <w:kern w:val="0"/>
                <w:sz w:val="20"/>
                <w:szCs w:val="20"/>
              </w:rPr>
              <w:t>4</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其他教育费附加安排的支出</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92.55</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城郊中小、九年制学校、檀树湾中学维修维护</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5</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乡镇卫生院</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315.70</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卫生院建设</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cs="Arial"/>
                <w:color w:val="000000"/>
                <w:kern w:val="0"/>
                <w:sz w:val="20"/>
                <w:szCs w:val="20"/>
              </w:rPr>
            </w:pPr>
            <w:r>
              <w:rPr>
                <w:rFonts w:ascii="Arial" w:hAnsi="Arial" w:cs="Arial"/>
                <w:color w:val="000000"/>
                <w:kern w:val="0"/>
                <w:sz w:val="20"/>
                <w:szCs w:val="20"/>
              </w:rPr>
              <w:t>6</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突发公共卫生事件应急处理</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110.69</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用于新冠肺炎防控支出</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7</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农村环境保护</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196.50</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环卫整治垃圾清运设施维修</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cs="Arial"/>
                <w:color w:val="000000"/>
                <w:kern w:val="0"/>
                <w:sz w:val="20"/>
                <w:szCs w:val="20"/>
              </w:rPr>
            </w:pPr>
            <w:r>
              <w:rPr>
                <w:rFonts w:ascii="Arial" w:hAnsi="Arial" w:cs="Arial"/>
                <w:color w:val="000000"/>
                <w:kern w:val="0"/>
                <w:sz w:val="20"/>
                <w:szCs w:val="20"/>
              </w:rPr>
              <w:t>8</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城管执法</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160.00</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城建城管</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9</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农村社会事业</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74.88</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农村基础设施建设,287座无害化厕所改造</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11</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对村民委员会和村党支部的补助</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251.46</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村级组织的正常运转</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Arial" w:hAnsi="Arial" w:cs="Arial"/>
                <w:color w:val="000000"/>
                <w:kern w:val="0"/>
                <w:sz w:val="20"/>
                <w:szCs w:val="20"/>
              </w:rPr>
            </w:pPr>
            <w:r>
              <w:rPr>
                <w:rFonts w:ascii="Arial" w:hAnsi="Arial" w:cs="Arial"/>
                <w:color w:val="000000"/>
                <w:kern w:val="0"/>
                <w:sz w:val="20"/>
                <w:szCs w:val="20"/>
              </w:rPr>
              <w:t>12</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老旧小区改造</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233.62</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5个老旧小区的改造</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r>
        <w:tblPrEx>
          <w:tblCellMar>
            <w:top w:w="0" w:type="dxa"/>
            <w:left w:w="108" w:type="dxa"/>
            <w:bottom w:w="0" w:type="dxa"/>
            <w:right w:w="108" w:type="dxa"/>
          </w:tblCellMar>
        </w:tblPrEx>
        <w:trPr>
          <w:trHeight w:val="480" w:hRule="atLeast"/>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Arial" w:eastAsia="仿宋_GB2312" w:cs="Arial"/>
                <w:color w:val="000000"/>
                <w:kern w:val="0"/>
                <w:sz w:val="24"/>
              </w:rPr>
            </w:pPr>
            <w:r>
              <w:rPr>
                <w:rFonts w:hint="eastAsia" w:ascii="仿宋_GB2312" w:hAnsi="Arial" w:eastAsia="仿宋_GB2312" w:cs="Arial"/>
                <w:color w:val="000000"/>
                <w:kern w:val="0"/>
                <w:sz w:val="24"/>
              </w:rPr>
              <w:t>13</w:t>
            </w:r>
          </w:p>
        </w:tc>
        <w:tc>
          <w:tcPr>
            <w:tcW w:w="2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其他保障性安居工程支出</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kern w:val="0"/>
                <w:sz w:val="20"/>
                <w:szCs w:val="20"/>
              </w:rPr>
            </w:pPr>
            <w:r>
              <w:rPr>
                <w:rFonts w:hint="eastAsia" w:ascii="宋体" w:hAnsi="宋体" w:cs="Arial"/>
                <w:kern w:val="0"/>
                <w:sz w:val="20"/>
                <w:szCs w:val="20"/>
              </w:rPr>
              <w:t>260.14</w:t>
            </w:r>
          </w:p>
        </w:tc>
        <w:tc>
          <w:tcPr>
            <w:tcW w:w="30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5个老旧小区的改造</w:t>
            </w:r>
          </w:p>
        </w:tc>
        <w:tc>
          <w:tcPr>
            <w:tcW w:w="12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已完成</w:t>
            </w:r>
          </w:p>
        </w:tc>
        <w:tc>
          <w:tcPr>
            <w:tcW w:w="615" w:type="dxa"/>
            <w:tcBorders>
              <w:top w:val="single" w:color="auto" w:sz="4" w:space="0"/>
              <w:left w:val="single" w:color="auto" w:sz="4" w:space="0"/>
              <w:bottom w:val="single" w:color="auto" w:sz="4" w:space="0"/>
              <w:right w:val="single" w:color="auto" w:sz="4" w:space="0"/>
            </w:tcBorders>
            <w:shd w:val="clear" w:color="auto" w:fill="auto"/>
          </w:tcPr>
          <w:p>
            <w:pPr>
              <w:widowControl/>
              <w:rPr>
                <w:rFonts w:ascii="仿宋_GB2312" w:hAnsi="Arial" w:eastAsia="仿宋_GB2312" w:cs="Arial"/>
                <w:color w:val="000000"/>
                <w:kern w:val="0"/>
                <w:sz w:val="24"/>
              </w:rPr>
            </w:pPr>
            <w:r>
              <w:rPr>
                <w:rFonts w:hint="eastAsia" w:ascii="仿宋_GB2312" w:hAnsi="Arial" w:eastAsia="仿宋_GB2312" w:cs="Arial"/>
                <w:color w:val="000000"/>
                <w:kern w:val="0"/>
                <w:sz w:val="24"/>
              </w:rPr>
              <w:t>　</w:t>
            </w:r>
          </w:p>
        </w:tc>
      </w:tr>
    </w:tbl>
    <w:p>
      <w:pPr>
        <w:spacing w:line="576" w:lineRule="exact"/>
        <w:ind w:firstLine="640" w:firstLineChars="200"/>
        <w:rPr>
          <w:rStyle w:val="6"/>
          <w:rFonts w:ascii="黑体" w:hAnsi="黑体" w:eastAsia="黑体" w:cs="黑体"/>
          <w:sz w:val="32"/>
          <w:szCs w:val="32"/>
        </w:rPr>
      </w:pPr>
      <w:r>
        <w:rPr>
          <w:rStyle w:val="6"/>
          <w:rFonts w:hint="eastAsia" w:ascii="黑体" w:hAnsi="黑体" w:eastAsia="黑体" w:cs="黑体"/>
          <w:sz w:val="32"/>
          <w:szCs w:val="32"/>
        </w:rPr>
        <w:t>三、资产管理情况</w:t>
      </w:r>
    </w:p>
    <w:p>
      <w:pPr>
        <w:spacing w:line="576" w:lineRule="exact"/>
        <w:ind w:firstLine="640" w:firstLineChars="200"/>
        <w:rPr>
          <w:rStyle w:val="6"/>
          <w:rFonts w:hAnsi="仿宋_GB2312"/>
          <w:sz w:val="32"/>
          <w:szCs w:val="32"/>
        </w:rPr>
      </w:pPr>
      <w:r>
        <w:rPr>
          <w:rStyle w:val="6"/>
          <w:rFonts w:hint="eastAsia" w:hAnsi="仿宋_GB2312"/>
          <w:sz w:val="32"/>
          <w:szCs w:val="32"/>
        </w:rPr>
        <w:t>2020年城郊街道根据《行政单位国有资产管理暂行管理办法》《城郊街道机关固定资产管理制度》等相关要求，对机关所有固定资产进行了集中清理并登记造册，建立了固定资产管理台账，每项资产张贴了标签，每个办公室安装了固定资产登记卡片，资产数量、规格型号、保管、使用责任人</w:t>
      </w:r>
      <w:r>
        <w:rPr>
          <w:rStyle w:val="6"/>
          <w:rFonts w:hint="eastAsia" w:hAnsi="仿宋_GB2312" w:eastAsia="仿宋_GB2312"/>
          <w:sz w:val="32"/>
          <w:szCs w:val="32"/>
          <w:lang w:eastAsia="zh-CN"/>
        </w:rPr>
        <w:t>、</w:t>
      </w:r>
      <w:r>
        <w:rPr>
          <w:rStyle w:val="6"/>
          <w:rFonts w:hint="eastAsia" w:hAnsi="仿宋_GB2312"/>
          <w:sz w:val="32"/>
          <w:szCs w:val="32"/>
        </w:rPr>
        <w:t>资产管理清晰明了，责任明确，管理有效，并根据固定资产使用年限和资产实际使用状况向宁乡市国有资产管理部门进行了定期申报核销处置。截止2020年末，固定资产总额1618.91万元，其中：土地房屋及构筑物1361.65万元；通用设备130.15万元，专用设备10.31万元；家具用具装具及动植物116.8万元。固定资产利用率100%，无空置、闲置资产。</w:t>
      </w:r>
    </w:p>
    <w:p>
      <w:pPr>
        <w:spacing w:line="576" w:lineRule="exact"/>
        <w:ind w:firstLine="640" w:firstLineChars="200"/>
        <w:rPr>
          <w:rStyle w:val="6"/>
          <w:rFonts w:ascii="黑体" w:hAnsi="黑体" w:eastAsia="黑体" w:cs="黑体"/>
          <w:sz w:val="32"/>
          <w:szCs w:val="32"/>
        </w:rPr>
      </w:pPr>
      <w:r>
        <w:rPr>
          <w:rStyle w:val="6"/>
          <w:rFonts w:hint="eastAsia" w:ascii="黑体" w:hAnsi="黑体" w:eastAsia="黑体" w:cs="黑体"/>
          <w:sz w:val="32"/>
          <w:szCs w:val="32"/>
        </w:rPr>
        <w:t>四、部门整体支出绩效情况</w:t>
      </w:r>
    </w:p>
    <w:p>
      <w:pPr>
        <w:spacing w:line="576" w:lineRule="exact"/>
        <w:ind w:left="640" w:left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（一）经济效益</w:t>
      </w:r>
    </w:p>
    <w:p>
      <w:pPr>
        <w:spacing w:line="576" w:lineRule="exact"/>
        <w:ind w:firstLine="640" w:firstLineChars="200"/>
        <w:rPr>
          <w:rStyle w:val="6"/>
          <w:rFonts w:hAnsi="仿宋_GB2312"/>
          <w:sz w:val="32"/>
          <w:szCs w:val="32"/>
        </w:rPr>
      </w:pPr>
      <w:r>
        <w:rPr>
          <w:rStyle w:val="6"/>
          <w:rFonts w:hint="eastAsia" w:hAnsi="仿宋_GB2312"/>
          <w:sz w:val="32"/>
          <w:szCs w:val="32"/>
        </w:rPr>
        <w:t>1.财政经济稳步增长。2020年，街道财税完成1.4</w:t>
      </w:r>
      <w:r>
        <w:rPr>
          <w:rStyle w:val="6"/>
          <w:rFonts w:hint="eastAsia" w:hAnsi="仿宋_GB2312" w:eastAsia="仿宋_GB2312"/>
          <w:sz w:val="32"/>
          <w:szCs w:val="32"/>
          <w:lang w:val="en-US" w:eastAsia="zh-CN"/>
        </w:rPr>
        <w:t>3</w:t>
      </w:r>
      <w:r>
        <w:rPr>
          <w:rStyle w:val="6"/>
          <w:rFonts w:hint="eastAsia" w:hAnsi="仿宋_GB2312"/>
          <w:sz w:val="32"/>
          <w:szCs w:val="32"/>
        </w:rPr>
        <w:t>亿元；社会消费品零售总额目标任务12.2亿元；“四上”企业入规目标任务19家；固定投资目标任务30亿元，全年预计完成固定投资34亿元；营利性服务业目标任务7500万，全年完成8701万元；工业总产值目标任务12.02亿元，全年预计完成13.5亿元。</w:t>
      </w:r>
    </w:p>
    <w:p>
      <w:pPr>
        <w:spacing w:line="576" w:lineRule="exact"/>
        <w:ind w:firstLine="640" w:firstLineChars="200"/>
        <w:rPr>
          <w:rStyle w:val="6"/>
          <w:rFonts w:hAnsi="仿宋_GB2312"/>
          <w:sz w:val="32"/>
          <w:szCs w:val="32"/>
        </w:rPr>
      </w:pPr>
      <w:r>
        <w:rPr>
          <w:rStyle w:val="6"/>
          <w:rFonts w:hint="eastAsia" w:hAnsi="仿宋_GB2312"/>
          <w:sz w:val="32"/>
          <w:szCs w:val="32"/>
        </w:rPr>
        <w:t>2.项目招商卓有成效。坚定不移贯彻西线工业走廊战略，通过带头招商、精准招商、以商招商和产业链招商，力促一批优质项目落户。2020年计划外新增重大社会投资项目实际完成个数9个，计划外新增重大社会投资项目入库完成投资额17.1亿元。</w:t>
      </w:r>
    </w:p>
    <w:p>
      <w:pPr>
        <w:spacing w:line="576" w:lineRule="exact"/>
        <w:ind w:firstLine="640" w:firstLineChars="200"/>
        <w:rPr>
          <w:rStyle w:val="6"/>
          <w:rFonts w:hAnsi="仿宋_GB2312"/>
          <w:sz w:val="32"/>
          <w:szCs w:val="32"/>
        </w:rPr>
      </w:pPr>
      <w:r>
        <w:rPr>
          <w:rStyle w:val="6"/>
          <w:rFonts w:hint="eastAsia" w:hAnsi="仿宋_GB2312"/>
          <w:sz w:val="32"/>
          <w:szCs w:val="32"/>
        </w:rPr>
        <w:t>3.征地拆迁清零推进。</w:t>
      </w:r>
    </w:p>
    <w:p>
      <w:pPr>
        <w:spacing w:line="576" w:lineRule="exact"/>
        <w:ind w:firstLine="643" w:firstLine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（二）社会效益</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脱贫攻坚全面推进</w:t>
      </w:r>
    </w:p>
    <w:p>
      <w:pPr>
        <w:spacing w:line="576" w:lineRule="exact"/>
        <w:ind w:firstLine="640" w:firstLineChars="200"/>
        <w:rPr>
          <w:rStyle w:val="6"/>
          <w:rFonts w:hAnsi="仿宋_GB2312"/>
          <w:sz w:val="32"/>
          <w:szCs w:val="32"/>
        </w:rPr>
      </w:pPr>
      <w:r>
        <w:rPr>
          <w:rStyle w:val="6"/>
          <w:rFonts w:hint="eastAsia" w:hAnsi="仿宋_GB2312"/>
          <w:sz w:val="32"/>
          <w:szCs w:val="32"/>
        </w:rPr>
        <w:t>1.扶贫责任严格落实。2.扶贫举措扎实有力。3.扶贫工作有序推进。使全街道125户、342名贫困人口全部实现脱贫。</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社会治理全面提升</w:t>
      </w:r>
    </w:p>
    <w:p>
      <w:pPr>
        <w:spacing w:line="576" w:lineRule="exact"/>
        <w:ind w:firstLine="640" w:firstLineChars="200"/>
        <w:rPr>
          <w:rStyle w:val="6"/>
          <w:rFonts w:hAnsi="仿宋_GB2312"/>
          <w:sz w:val="32"/>
          <w:szCs w:val="32"/>
        </w:rPr>
      </w:pPr>
      <w:r>
        <w:rPr>
          <w:rStyle w:val="6"/>
          <w:rFonts w:hint="eastAsia" w:hAnsi="仿宋_GB2312"/>
          <w:sz w:val="32"/>
          <w:szCs w:val="32"/>
        </w:rPr>
        <w:t>1.化解矛盾积极有效。2.平安创建有声有色。3.安全治理常抓不懈。</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疫情防控全面到位</w:t>
      </w:r>
    </w:p>
    <w:p>
      <w:pPr>
        <w:spacing w:line="576" w:lineRule="exact"/>
        <w:ind w:firstLine="640" w:firstLineChars="200"/>
        <w:rPr>
          <w:rStyle w:val="6"/>
          <w:rFonts w:hAnsi="仿宋_GB2312"/>
          <w:sz w:val="32"/>
          <w:szCs w:val="32"/>
        </w:rPr>
      </w:pPr>
      <w:r>
        <w:rPr>
          <w:rStyle w:val="6"/>
          <w:rFonts w:hint="eastAsia" w:hAnsi="仿宋_GB2312"/>
          <w:sz w:val="32"/>
          <w:szCs w:val="32"/>
        </w:rPr>
        <w:t>1.战斗堡垒坚强有力。2.宣传引导无缝覆盖。3.群防群控筑牢防线。</w:t>
      </w:r>
    </w:p>
    <w:p>
      <w:pPr>
        <w:spacing w:line="576" w:lineRule="exact"/>
        <w:ind w:left="640" w:leftChars="200"/>
        <w:rPr>
          <w:rStyle w:val="6"/>
          <w:rFonts w:ascii="楷体_GB2312" w:hAnsi="楷体_GB2312" w:eastAsia="楷体_GB2312" w:cs="楷体_GB2312"/>
          <w:b/>
          <w:bCs/>
          <w:sz w:val="32"/>
          <w:szCs w:val="32"/>
        </w:rPr>
      </w:pPr>
      <w:r>
        <w:rPr>
          <w:rStyle w:val="6"/>
          <w:rFonts w:hint="eastAsia" w:ascii="楷体_GB2312" w:hAnsi="楷体_GB2312" w:eastAsia="楷体_GB2312" w:cs="楷体_GB2312"/>
          <w:b/>
          <w:bCs/>
          <w:sz w:val="32"/>
          <w:szCs w:val="32"/>
        </w:rPr>
        <w:t>（三）生态效益</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人民生活全面改善</w:t>
      </w:r>
    </w:p>
    <w:p>
      <w:pPr>
        <w:spacing w:line="576" w:lineRule="exact"/>
        <w:ind w:firstLine="640" w:firstLineChars="200"/>
        <w:rPr>
          <w:rStyle w:val="6"/>
          <w:rFonts w:hAnsi="仿宋_GB2312"/>
          <w:sz w:val="32"/>
          <w:szCs w:val="32"/>
        </w:rPr>
      </w:pPr>
      <w:r>
        <w:rPr>
          <w:rStyle w:val="6"/>
          <w:rFonts w:hint="eastAsia" w:hAnsi="仿宋_GB2312"/>
          <w:sz w:val="32"/>
          <w:szCs w:val="32"/>
        </w:rPr>
        <w:t>1.人居环境大力提升。督促各村社区、小区做好垃圾分类工作，提高各村社区、小区居民垃圾分类减量投放率。对石头坑村、茶亭寺建档立卡贫困户、低保户、分散供养五保户、残疾户等四类人员户厕进行上门摸底，严格落实改厕办要求的四类人员无害化厕所改造，2019年石头坑村、茶亭寺村已改建三格化粪池137座，2020年已改建三格化粪池150座，合计287座，全部验收完毕。</w:t>
      </w:r>
    </w:p>
    <w:p>
      <w:pPr>
        <w:spacing w:line="576" w:lineRule="exact"/>
        <w:ind w:firstLine="640" w:firstLineChars="200"/>
        <w:rPr>
          <w:rStyle w:val="6"/>
          <w:rFonts w:hAnsi="仿宋_GB2312"/>
          <w:sz w:val="32"/>
          <w:szCs w:val="32"/>
        </w:rPr>
      </w:pPr>
      <w:r>
        <w:rPr>
          <w:rStyle w:val="6"/>
          <w:rFonts w:hint="eastAsia" w:hAnsi="仿宋_GB2312"/>
          <w:sz w:val="32"/>
          <w:szCs w:val="32"/>
        </w:rPr>
        <w:t>2.除臭剿劣成效初显。对辖区排口进行不间断巡查监测，定期对排口周围进行白色垃圾清理及清淤除杂，确保每月的水质检测达标；街道级河长巡河完成率100%，对沩水河道内围挡种菜进行全面清理，违章搭建的棚屋进行</w:t>
      </w:r>
      <w:bookmarkStart w:id="0" w:name="_GoBack"/>
      <w:bookmarkEnd w:id="0"/>
      <w:r>
        <w:rPr>
          <w:rStyle w:val="6"/>
          <w:rFonts w:hint="eastAsia" w:hAnsi="仿宋_GB2312"/>
          <w:sz w:val="32"/>
          <w:szCs w:val="32"/>
        </w:rPr>
        <w:t>全面拆除，清整、覆绿面积约80亩。</w:t>
      </w:r>
    </w:p>
    <w:p>
      <w:pPr>
        <w:spacing w:line="576" w:lineRule="exact"/>
        <w:ind w:firstLine="640" w:firstLineChars="200"/>
        <w:rPr>
          <w:rStyle w:val="6"/>
          <w:rFonts w:hAnsi="仿宋_GB2312"/>
          <w:sz w:val="32"/>
          <w:szCs w:val="32"/>
        </w:rPr>
      </w:pPr>
      <w:r>
        <w:rPr>
          <w:rStyle w:val="6"/>
          <w:rFonts w:hint="eastAsia" w:hAnsi="仿宋_GB2312"/>
          <w:sz w:val="32"/>
          <w:szCs w:val="32"/>
        </w:rPr>
        <w:t>3.民生保障不断加强。搭建就业桥梁，组织培训帮促创业。城乡居民医保、社保扩面安民，社会保险服务优质。完成城乡居民医疗保险购买484</w:t>
      </w:r>
      <w:r>
        <w:rPr>
          <w:rStyle w:val="6"/>
          <w:rFonts w:hint="eastAsia" w:hAnsi="仿宋_GB2312" w:eastAsia="仿宋_GB2312"/>
          <w:sz w:val="32"/>
          <w:szCs w:val="32"/>
          <w:lang w:val="en-US" w:eastAsia="zh-CN"/>
        </w:rPr>
        <w:t>万</w:t>
      </w:r>
      <w:r>
        <w:rPr>
          <w:rStyle w:val="6"/>
          <w:rFonts w:hint="eastAsia" w:hAnsi="仿宋_GB2312"/>
          <w:sz w:val="32"/>
          <w:szCs w:val="32"/>
        </w:rPr>
        <w:t>元，城乡居民养老保险完成4882人，稽核工作继续推进，完成全年任务42%</w:t>
      </w:r>
      <w:r>
        <w:rPr>
          <w:rStyle w:val="6"/>
          <w:rFonts w:hint="eastAsia" w:hAnsi="仿宋_GB2312" w:eastAsia="仿宋_GB2312"/>
          <w:sz w:val="32"/>
          <w:szCs w:val="32"/>
          <w:lang w:eastAsia="zh-CN"/>
        </w:rPr>
        <w:t>，</w:t>
      </w:r>
      <w:r>
        <w:rPr>
          <w:rStyle w:val="6"/>
          <w:rFonts w:hint="eastAsia" w:hAnsi="仿宋_GB2312"/>
          <w:sz w:val="32"/>
          <w:szCs w:val="32"/>
        </w:rPr>
        <w:t>共2</w:t>
      </w:r>
      <w:r>
        <w:rPr>
          <w:rStyle w:val="6"/>
          <w:rFonts w:hint="eastAsia" w:hAnsi="仿宋_GB2312" w:eastAsia="仿宋_GB2312"/>
          <w:sz w:val="32"/>
          <w:szCs w:val="32"/>
          <w:lang w:val="en-US" w:eastAsia="zh-CN"/>
        </w:rPr>
        <w:t>.</w:t>
      </w:r>
      <w:r>
        <w:rPr>
          <w:rStyle w:val="6"/>
          <w:rFonts w:hint="eastAsia" w:hAnsi="仿宋_GB2312"/>
          <w:sz w:val="32"/>
          <w:szCs w:val="32"/>
        </w:rPr>
        <w:t>28</w:t>
      </w:r>
      <w:r>
        <w:rPr>
          <w:rStyle w:val="6"/>
          <w:rFonts w:hint="eastAsia" w:hAnsi="仿宋_GB2312" w:eastAsia="仿宋_GB2312"/>
          <w:sz w:val="32"/>
          <w:szCs w:val="32"/>
          <w:lang w:val="en-US" w:eastAsia="zh-CN"/>
        </w:rPr>
        <w:t>万</w:t>
      </w:r>
      <w:r>
        <w:rPr>
          <w:rStyle w:val="6"/>
          <w:rFonts w:hint="eastAsia" w:hAnsi="仿宋_GB2312"/>
          <w:sz w:val="32"/>
          <w:szCs w:val="32"/>
        </w:rPr>
        <w:t>元</w:t>
      </w:r>
      <w:r>
        <w:rPr>
          <w:rStyle w:val="6"/>
          <w:rFonts w:hint="eastAsia" w:hAnsi="仿宋_GB2312" w:eastAsia="仿宋_GB2312"/>
          <w:sz w:val="32"/>
          <w:szCs w:val="32"/>
          <w:lang w:eastAsia="zh-CN"/>
        </w:rPr>
        <w:t>，</w:t>
      </w:r>
      <w:r>
        <w:rPr>
          <w:rStyle w:val="6"/>
          <w:rFonts w:hint="eastAsia" w:hAnsi="仿宋_GB2312"/>
          <w:sz w:val="32"/>
          <w:szCs w:val="32"/>
        </w:rPr>
        <w:t>暂居全市第一，城乡居民养老保险新增参保18人、社保卡核实信息548人，处理问题医保440条，医保核减人员数1259条，新生儿医保43条，五类人员异动56条，处理医保退费18人，退费金额共计4600元。对街道范围内397户四类人员及133户重病户进行深入走访调查，对229户低保户进行年审。开展第三十次全国助残日活动，慰问109人残疾人，为10名残疾人申报居家托养、为1名残疾人申报办理个体工商户基本养老保险缴费补贴、办理残疾证28本、为5名残疾人申报办理残疾人租房补贴。民政低保救助累计1013400元，特困救助累计发放345000元。临时救助200000元。大病救助申请救助资金77725元，精神病住院救助11人，精神病药物救助3人。发放事实无人抚养儿童补贴发放2人，共计发放21600元，高龄补贴发放824800元。发放残疾人两项补贴61400元。计生服务优质高效。购买计生保险51400元，发放护理补贴11000元，奖扶年审253人，新增农村奖扶74人，发放74本光荣证。独生子女保健费新增一户，退出101户。处理全员人口各类信息1200来条，平台出生核查100多个。</w:t>
      </w:r>
    </w:p>
    <w:p>
      <w:pPr>
        <w:spacing w:line="576" w:lineRule="exact"/>
        <w:ind w:firstLine="562" w:firstLineChars="200"/>
        <w:rPr>
          <w:rFonts w:ascii="仿宋_GB2312" w:hAnsi="仿宋_GB2312" w:eastAsia="仿宋_GB2312"/>
          <w:b/>
          <w:bCs/>
          <w:sz w:val="28"/>
          <w:szCs w:val="28"/>
        </w:rPr>
      </w:pPr>
      <w:r>
        <w:rPr>
          <w:rFonts w:hint="eastAsia" w:ascii="仿宋_GB2312" w:hAnsi="仿宋_GB2312" w:eastAsia="仿宋_GB2312"/>
          <w:b/>
          <w:bCs/>
          <w:sz w:val="28"/>
          <w:szCs w:val="28"/>
        </w:rPr>
        <w:t>党的建设全面加强</w:t>
      </w:r>
    </w:p>
    <w:p>
      <w:pPr>
        <w:spacing w:line="576" w:lineRule="exact"/>
        <w:ind w:firstLine="640" w:firstLineChars="200"/>
        <w:rPr>
          <w:rStyle w:val="6"/>
          <w:rFonts w:hAnsi="仿宋_GB2312"/>
          <w:sz w:val="32"/>
          <w:szCs w:val="32"/>
        </w:rPr>
      </w:pPr>
      <w:r>
        <w:rPr>
          <w:rStyle w:val="6"/>
          <w:rFonts w:hint="eastAsia" w:hAnsi="仿宋_GB2312"/>
          <w:sz w:val="32"/>
          <w:szCs w:val="32"/>
        </w:rPr>
        <w:t>1.基层党建扎实推进。2.从严治党深入开展。3.文明创建圆满完成。</w:t>
      </w:r>
    </w:p>
    <w:p>
      <w:pPr>
        <w:spacing w:line="576" w:lineRule="exact"/>
        <w:ind w:firstLine="640" w:firstLineChars="200"/>
        <w:rPr>
          <w:rStyle w:val="6"/>
          <w:rFonts w:ascii="黑体" w:hAnsi="黑体" w:eastAsia="黑体" w:cs="黑体"/>
          <w:sz w:val="32"/>
          <w:szCs w:val="32"/>
        </w:rPr>
      </w:pPr>
      <w:r>
        <w:rPr>
          <w:rStyle w:val="6"/>
          <w:rFonts w:hint="eastAsia" w:ascii="黑体" w:hAnsi="黑体" w:eastAsia="黑体" w:cs="黑体"/>
          <w:sz w:val="32"/>
          <w:szCs w:val="32"/>
        </w:rPr>
        <w:t>五、存在的主要问题</w:t>
      </w:r>
    </w:p>
    <w:p>
      <w:pPr>
        <w:spacing w:line="576" w:lineRule="exact"/>
        <w:ind w:firstLine="640" w:firstLineChars="200"/>
        <w:rPr>
          <w:rStyle w:val="6"/>
          <w:rFonts w:hAnsi="仿宋_GB2312"/>
          <w:sz w:val="32"/>
          <w:szCs w:val="32"/>
        </w:rPr>
      </w:pPr>
      <w:r>
        <w:rPr>
          <w:rStyle w:val="6"/>
          <w:rFonts w:hint="eastAsia" w:hAnsi="仿宋_GB2312"/>
          <w:sz w:val="32"/>
          <w:szCs w:val="32"/>
        </w:rPr>
        <w:t>一是预算准确率方面有待进一步增加，年初预算与决算方面存在较大偏差，特别是具体到各功能科目的预算方面，年初预算与决算偏差更为突出。二是差额人员比较多，预算经费不足，财政运转压力大。</w:t>
      </w:r>
    </w:p>
    <w:p>
      <w:pPr>
        <w:spacing w:line="576" w:lineRule="exact"/>
        <w:ind w:firstLine="640" w:firstLineChars="200"/>
        <w:rPr>
          <w:rStyle w:val="6"/>
          <w:rFonts w:ascii="黑体" w:hAnsi="黑体" w:eastAsia="黑体" w:cs="黑体"/>
          <w:sz w:val="32"/>
          <w:szCs w:val="32"/>
        </w:rPr>
      </w:pPr>
      <w:r>
        <w:rPr>
          <w:rStyle w:val="6"/>
          <w:rFonts w:hint="eastAsia" w:ascii="黑体" w:hAnsi="黑体" w:eastAsia="黑体" w:cs="黑体"/>
          <w:sz w:val="32"/>
          <w:szCs w:val="32"/>
        </w:rPr>
        <w:t>六、改进措施和有关建议</w:t>
      </w:r>
    </w:p>
    <w:p>
      <w:pPr>
        <w:spacing w:line="576" w:lineRule="exact"/>
        <w:ind w:firstLine="640" w:firstLineChars="200"/>
        <w:rPr>
          <w:rStyle w:val="6"/>
          <w:rFonts w:hAnsi="仿宋_GB2312"/>
          <w:sz w:val="32"/>
          <w:szCs w:val="32"/>
        </w:rPr>
      </w:pPr>
      <w:r>
        <w:rPr>
          <w:rStyle w:val="6"/>
          <w:rFonts w:hint="eastAsia" w:hAnsi="仿宋_GB2312"/>
          <w:sz w:val="32"/>
          <w:szCs w:val="32"/>
        </w:rPr>
        <w:t>一是预算编制在零基预算方面进一步下功夫，轻以前数据的研判，重年初数据的调研论证，广泛听取征求相关意见，充分了解掌握熟悉相关情况，预判分析发展趋势，力求年初预算更加精准。二是加强《预算法》《新政府会计制度》《政府采购法》等知识的学习培训，规范部门预算收支核算，严格按项目和进度执行预算，增强预算约束力和严肃性。三是落实预算执行分析，加强对项目开展情况进行跟踪监督，及时发现掌握预算执行偏差原因，按法定程序实事求是的合理调整，切实提高部门预算收支管理水平。</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AC261"/>
    <w:multiLevelType w:val="singleLevel"/>
    <w:tmpl w:val="DDAAC26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yNGZhNWU4ZWJmMDFmNWRlOGExYzg4ZTBiYzk4M2IifQ=="/>
  </w:docVars>
  <w:rsids>
    <w:rsidRoot w:val="210564AC"/>
    <w:rsid w:val="000F3338"/>
    <w:rsid w:val="00580912"/>
    <w:rsid w:val="006B16FF"/>
    <w:rsid w:val="0079352D"/>
    <w:rsid w:val="00927AE7"/>
    <w:rsid w:val="00953797"/>
    <w:rsid w:val="00C15D18"/>
    <w:rsid w:val="1BBE306E"/>
    <w:rsid w:val="210564AC"/>
    <w:rsid w:val="45924CE9"/>
    <w:rsid w:val="4CD64A37"/>
    <w:rsid w:val="5F5D4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仿宋_GB2312"/>
      <w:kern w:val="2"/>
      <w:sz w:val="32"/>
      <w:szCs w:val="3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kern w:val="0"/>
      <w:sz w:val="24"/>
      <w:szCs w:val="21"/>
    </w:rPr>
  </w:style>
  <w:style w:type="character" w:customStyle="1" w:styleId="5">
    <w:name w:val="font51"/>
    <w:basedOn w:val="4"/>
    <w:qFormat/>
    <w:uiPriority w:val="0"/>
    <w:rPr>
      <w:rFonts w:hint="default" w:ascii="方正小标宋简体" w:hAnsi="方正小标宋简体" w:eastAsia="方正小标宋简体" w:cs="方正小标宋简体"/>
      <w:b/>
      <w:color w:val="000000"/>
      <w:sz w:val="44"/>
      <w:szCs w:val="44"/>
      <w:u w:val="none"/>
    </w:rPr>
  </w:style>
  <w:style w:type="character" w:customStyle="1" w:styleId="6">
    <w:name w:val="font31"/>
    <w:basedOn w:val="4"/>
    <w:qFormat/>
    <w:uiPriority w:val="0"/>
    <w:rPr>
      <w:rFonts w:ascii="仿宋_GB2312" w:eastAsia="仿宋_GB2312" w:cs="仿宋_GB2312"/>
      <w:color w:val="000000"/>
      <w:sz w:val="28"/>
      <w:szCs w:val="28"/>
      <w:u w:val="none"/>
    </w:rPr>
  </w:style>
  <w:style w:type="paragraph" w:styleId="7">
    <w:name w:val="List Paragraph"/>
    <w:basedOn w:val="1"/>
    <w:unhideWhenUsed/>
    <w:qFormat/>
    <w:uiPriority w:val="99"/>
    <w:pPr>
      <w:ind w:firstLine="420" w:firstLineChars="200"/>
    </w:pPr>
  </w:style>
  <w:style w:type="character" w:customStyle="1" w:styleId="8">
    <w:name w:val="font41"/>
    <w:basedOn w:val="4"/>
    <w:qFormat/>
    <w:uiPriority w:val="0"/>
    <w:rPr>
      <w:rFonts w:hint="default" w:ascii="Times New Roman" w:hAnsi="Times New Roman" w:cs="Times New Roman"/>
      <w:color w:val="000000"/>
      <w:sz w:val="28"/>
      <w:szCs w:val="28"/>
      <w:u w:val="none"/>
    </w:rPr>
  </w:style>
  <w:style w:type="paragraph" w:customStyle="1" w:styleId="9">
    <w:name w:val="NormalIndent"/>
    <w:basedOn w:val="1"/>
    <w:qFormat/>
    <w:uiPriority w:val="0"/>
    <w:pPr>
      <w:ind w:firstLine="420"/>
      <w:textAlignment w:val="baseline"/>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4923</Words>
  <Characters>7170</Characters>
  <Lines>57</Lines>
  <Paragraphs>16</Paragraphs>
  <TotalTime>30</TotalTime>
  <ScaleCrop>false</ScaleCrop>
  <LinksUpToDate>false</LinksUpToDate>
  <CharactersWithSpaces>7204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2021-03-31T02:39:00Z</dcterms:created>
  <dc:creator>Administrator</dc:creator>
  <cp:lastModifiedBy>定不了型的刘海</cp:lastModifiedBy>
  <cp:lastPrinted>2021-03-31T04:43:00Z</cp:lastPrinted>
  <dcterms:modified xsi:type="dcterms:W3CDTF">2022-06-09T01:56:24Z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AA17D0CFE8A442108F650F14C0FD3E75</vt:lpwstr>
  </property>
</Properties>
</file>