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D18" w:rsidRDefault="00927AE7">
      <w:pPr>
        <w:spacing w:line="576" w:lineRule="exact"/>
        <w:jc w:val="center"/>
        <w:rPr>
          <w:rStyle w:val="font51"/>
          <w:b w:val="0"/>
          <w:bCs/>
        </w:rPr>
      </w:pPr>
      <w:r>
        <w:rPr>
          <w:rFonts w:ascii="方正小标宋简体" w:eastAsia="方正小标宋简体" w:hAnsi="方正小标宋简体" w:cs="方正小标宋简体" w:hint="eastAsia"/>
          <w:bCs/>
          <w:color w:val="000000"/>
          <w:kern w:val="0"/>
          <w:sz w:val="44"/>
          <w:szCs w:val="44"/>
        </w:rPr>
        <w:t>城郊街道2020年度部门整体支出绩效</w:t>
      </w:r>
      <w:r>
        <w:rPr>
          <w:rStyle w:val="font51"/>
          <w:rFonts w:hint="eastAsia"/>
          <w:b w:val="0"/>
          <w:bCs/>
        </w:rPr>
        <w:t>自评</w:t>
      </w:r>
    </w:p>
    <w:p w:rsidR="00C15D18" w:rsidRDefault="00927AE7">
      <w:pPr>
        <w:spacing w:line="576" w:lineRule="exact"/>
        <w:jc w:val="center"/>
        <w:rPr>
          <w:rStyle w:val="font51"/>
          <w:b w:val="0"/>
          <w:bCs/>
        </w:rPr>
      </w:pPr>
      <w:r>
        <w:rPr>
          <w:rStyle w:val="font51"/>
          <w:rFonts w:hint="eastAsia"/>
          <w:b w:val="0"/>
          <w:bCs/>
        </w:rPr>
        <w:t>报告</w:t>
      </w:r>
    </w:p>
    <w:p w:rsidR="00C15D18" w:rsidRDefault="00C15D18">
      <w:pPr>
        <w:spacing w:line="576" w:lineRule="exact"/>
        <w:ind w:firstLineChars="200" w:firstLine="640"/>
        <w:rPr>
          <w:rStyle w:val="font31"/>
          <w:rFonts w:hAnsi="仿宋_GB2312"/>
          <w:sz w:val="32"/>
          <w:szCs w:val="32"/>
        </w:rPr>
      </w:pP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根据《宁乡市财政局关于印发〈宁乡市全面实施预算绩效管理的实施办法〉的通知》（宁财[2021]4号和预算绩效管理的要求，城郊街道办事处对2020年度部门整体支出绩效开展自评，评价结果如下：</w:t>
      </w:r>
    </w:p>
    <w:p w:rsidR="00C15D18" w:rsidRDefault="00927AE7">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t>一、部门概况</w:t>
      </w:r>
    </w:p>
    <w:p w:rsidR="00C15D18" w:rsidRDefault="00927AE7">
      <w:pPr>
        <w:spacing w:line="576" w:lineRule="exact"/>
        <w:ind w:leftChars="200" w:left="640"/>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（一）职能职责</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办事处：负责政府全面工作；负责编制本级财政预算、结算，组织预算收入和执行预算支出，负责加强街道所属各中心（所）的财务管理和监督等。</w:t>
      </w:r>
      <w:r>
        <w:rPr>
          <w:rStyle w:val="font31"/>
          <w:rFonts w:hAnsi="仿宋_GB2312" w:hint="eastAsia"/>
          <w:sz w:val="32"/>
          <w:szCs w:val="32"/>
        </w:rPr>
        <w:br/>
        <w:t xml:space="preserve">    司法所：提供法律保障、法律服务、法制宣传教育等，指导、管理人民调解工作，指导管理基层法律服务工作等。</w:t>
      </w:r>
      <w:r>
        <w:rPr>
          <w:rStyle w:val="font31"/>
          <w:rFonts w:hAnsi="仿宋_GB2312" w:hint="eastAsia"/>
          <w:sz w:val="32"/>
          <w:szCs w:val="32"/>
        </w:rPr>
        <w:br/>
        <w:t xml:space="preserve">    社会事务综合服务中心：社会救助、低保发放等；计划生育政策、法规咨询服务，生育证、流动人口证发放等；组织开展各种文化娱乐活动，搜集整理及保护本镇民间文化艺术遗产，宣传党的路线、方针、政策，办好本镇宣传工作等。</w:t>
      </w:r>
      <w:r>
        <w:rPr>
          <w:rStyle w:val="font31"/>
          <w:rFonts w:hAnsi="仿宋_GB2312" w:hint="eastAsia"/>
          <w:sz w:val="32"/>
          <w:szCs w:val="32"/>
        </w:rPr>
        <w:br/>
        <w:t xml:space="preserve">    政务服务中心：宣传、贯彻国家相关法律、法规、方针政策，组织编制、实施村镇规划和年度建设计划，加强村镇规划建设管理和监督等。</w:t>
      </w:r>
      <w:r>
        <w:rPr>
          <w:rStyle w:val="font31"/>
          <w:rFonts w:hAnsi="仿宋_GB2312" w:hint="eastAsia"/>
          <w:sz w:val="32"/>
          <w:szCs w:val="32"/>
        </w:rPr>
        <w:br/>
        <w:t xml:space="preserve">    农业综合服务中心：宣传国家产业方面政策，农作物新品种、</w:t>
      </w:r>
      <w:r>
        <w:rPr>
          <w:rStyle w:val="font31"/>
          <w:rFonts w:hAnsi="仿宋_GB2312" w:hint="eastAsia"/>
          <w:sz w:val="32"/>
          <w:szCs w:val="32"/>
        </w:rPr>
        <w:lastRenderedPageBreak/>
        <w:t>新技术推广服务等。</w:t>
      </w:r>
      <w:r>
        <w:rPr>
          <w:rStyle w:val="font31"/>
          <w:rFonts w:hAnsi="仿宋_GB2312" w:hint="eastAsia"/>
          <w:sz w:val="32"/>
          <w:szCs w:val="32"/>
        </w:rPr>
        <w:br/>
        <w:t xml:space="preserve">    综合执法大队：认真贯彻落实国家相关政策、法律、法规、及相关文件精神，加强对安全生产工作的组织领导和管理，确保安全生产工作正常有序开展，按规定要求上报事故，完成其他安全工作任务等。</w:t>
      </w:r>
    </w:p>
    <w:p w:rsidR="00C15D18" w:rsidRDefault="00927AE7">
      <w:pPr>
        <w:numPr>
          <w:ilvl w:val="0"/>
          <w:numId w:val="1"/>
        </w:numPr>
        <w:spacing w:line="576" w:lineRule="exact"/>
        <w:ind w:leftChars="200" w:left="640"/>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机构设置</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2020年城郊街道共辖10个村（社区）、193个居民小组，街道总人口7.75万，现有村（社区）干部55人。街道办事处及其工作机构分设机关、一所三中心及一队，即办事处、司法所、社会事务综合服务中心、农业综合服务中心、政务服务中心、综合行政执法队。街道办事处财政供养实有在职122人，其中：行政人员51人（工勤人员算行政）、全额事业人员41人、差额事业人员30人。退休51人。</w:t>
      </w:r>
    </w:p>
    <w:p w:rsidR="00C15D18" w:rsidRDefault="00927AE7">
      <w:pPr>
        <w:spacing w:line="576" w:lineRule="exact"/>
        <w:ind w:firstLineChars="200" w:firstLine="643"/>
        <w:rPr>
          <w:rStyle w:val="font31"/>
          <w:rFonts w:hAnsi="仿宋_GB2312"/>
          <w:sz w:val="32"/>
          <w:szCs w:val="32"/>
        </w:rPr>
      </w:pPr>
      <w:r>
        <w:rPr>
          <w:rStyle w:val="font31"/>
          <w:rFonts w:ascii="楷体_GB2312" w:eastAsia="楷体_GB2312" w:hAnsi="楷体_GB2312" w:cs="楷体_GB2312" w:hint="eastAsia"/>
          <w:b/>
          <w:bCs/>
          <w:sz w:val="32"/>
          <w:szCs w:val="32"/>
        </w:rPr>
        <w:t>（三）2020年办事处工作目标：</w:t>
      </w:r>
      <w:r>
        <w:rPr>
          <w:rStyle w:val="font31"/>
          <w:rFonts w:hAnsi="仿宋_GB2312" w:hint="eastAsia"/>
          <w:sz w:val="32"/>
          <w:szCs w:val="32"/>
        </w:rPr>
        <w:t>2020年在宁乡市委、市政府坚强领导下，城郊街道高举习近平新时代中国特色社会主义思想伟大旗帜，认真贯彻落实中央、省委、长沙市委和宁乡市委工作会议精神，心往一处想、劲往一处使，众志成城、奋勇拼搏，在经济社会高质量发展的道路上迈出了坚实步伐，“宁乡门户，大美城郊”正雏形初现，逐梦起航。</w:t>
      </w:r>
    </w:p>
    <w:p w:rsidR="00C15D18" w:rsidRDefault="00927AE7" w:rsidP="00927AE7">
      <w:pPr>
        <w:spacing w:line="576" w:lineRule="exact"/>
        <w:ind w:firstLineChars="200" w:firstLine="613"/>
        <w:rPr>
          <w:rStyle w:val="font31"/>
          <w:rFonts w:ascii="楷体_GB2312" w:eastAsia="楷体_GB2312" w:hAnsi="楷体_GB2312" w:cs="楷体_GB2312"/>
          <w:b/>
          <w:bCs/>
          <w:w w:val="95"/>
          <w:sz w:val="32"/>
          <w:szCs w:val="32"/>
        </w:rPr>
      </w:pPr>
      <w:r>
        <w:rPr>
          <w:rStyle w:val="font31"/>
          <w:rFonts w:ascii="楷体_GB2312" w:eastAsia="楷体_GB2312" w:hAnsi="楷体_GB2312" w:cs="楷体_GB2312" w:hint="eastAsia"/>
          <w:b/>
          <w:bCs/>
          <w:w w:val="95"/>
          <w:sz w:val="32"/>
          <w:szCs w:val="32"/>
        </w:rPr>
        <w:t>（四）部门整体支出规模、使用方向和主要内容、涉及范围等。</w:t>
      </w:r>
    </w:p>
    <w:p w:rsidR="00C15D18" w:rsidRDefault="00927AE7">
      <w:pPr>
        <w:spacing w:line="576" w:lineRule="exact"/>
        <w:ind w:leftChars="200" w:left="640"/>
        <w:rPr>
          <w:rStyle w:val="font31"/>
          <w:rFonts w:hAnsi="仿宋_GB2312"/>
          <w:sz w:val="32"/>
          <w:szCs w:val="32"/>
        </w:rPr>
      </w:pPr>
      <w:r>
        <w:rPr>
          <w:rStyle w:val="font31"/>
          <w:rFonts w:hAnsi="仿宋_GB2312" w:hint="eastAsia"/>
          <w:sz w:val="32"/>
          <w:szCs w:val="32"/>
        </w:rPr>
        <w:t>1、收入支出预算安排情况。</w:t>
      </w:r>
    </w:p>
    <w:p w:rsidR="00C15D18" w:rsidRDefault="00927AE7">
      <w:pPr>
        <w:spacing w:line="576" w:lineRule="exact"/>
        <w:ind w:firstLineChars="200" w:firstLine="640"/>
        <w:rPr>
          <w:rStyle w:val="font31"/>
          <w:rFonts w:hAnsi="仿宋_GB2312" w:hint="eastAsia"/>
          <w:sz w:val="32"/>
          <w:szCs w:val="32"/>
        </w:rPr>
      </w:pPr>
      <w:r>
        <w:rPr>
          <w:rStyle w:val="font31"/>
          <w:rFonts w:hAnsi="仿宋_GB2312" w:hint="eastAsia"/>
          <w:sz w:val="32"/>
          <w:szCs w:val="32"/>
        </w:rPr>
        <w:t>2020年收支决算整体情况，本年决算收入合计7420.06万</w:t>
      </w:r>
      <w:r>
        <w:rPr>
          <w:rStyle w:val="font31"/>
          <w:rFonts w:hAnsi="仿宋_GB2312" w:hint="eastAsia"/>
          <w:sz w:val="32"/>
          <w:szCs w:val="32"/>
        </w:rPr>
        <w:lastRenderedPageBreak/>
        <w:t>元，为年初预算</w:t>
      </w:r>
      <w:r w:rsidR="000F3338">
        <w:rPr>
          <w:rStyle w:val="font31"/>
          <w:rFonts w:hAnsi="仿宋_GB2312" w:hint="eastAsia"/>
          <w:sz w:val="32"/>
          <w:szCs w:val="32"/>
        </w:rPr>
        <w:t>6775.58万元</w:t>
      </w:r>
      <w:r>
        <w:rPr>
          <w:rStyle w:val="font31"/>
          <w:rFonts w:hAnsi="仿宋_GB2312" w:hint="eastAsia"/>
          <w:sz w:val="32"/>
          <w:szCs w:val="32"/>
        </w:rPr>
        <w:t>的</w:t>
      </w:r>
      <w:r w:rsidR="000F3338">
        <w:rPr>
          <w:rStyle w:val="font31"/>
          <w:rFonts w:hAnsi="仿宋_GB2312" w:hint="eastAsia"/>
          <w:sz w:val="32"/>
          <w:szCs w:val="32"/>
        </w:rPr>
        <w:t>109.5</w:t>
      </w:r>
      <w:r>
        <w:rPr>
          <w:rStyle w:val="font31"/>
          <w:rFonts w:hAnsi="仿宋_GB2312" w:hint="eastAsia"/>
          <w:sz w:val="32"/>
          <w:szCs w:val="32"/>
        </w:rPr>
        <w:t>%，其中：一般公共财政预算拨款4596.43万元，政府性基金补助收入9.3万元，其他收入（非税特设等专项资金）2814.33万元。本年决算支出合计7420.06万元，为年初预算</w:t>
      </w:r>
      <w:r w:rsidR="000F3338">
        <w:rPr>
          <w:rStyle w:val="font31"/>
          <w:rFonts w:hAnsi="仿宋_GB2312" w:hint="eastAsia"/>
          <w:sz w:val="32"/>
          <w:szCs w:val="32"/>
        </w:rPr>
        <w:t>6775.58万元</w:t>
      </w:r>
      <w:r>
        <w:rPr>
          <w:rStyle w:val="font31"/>
          <w:rFonts w:hAnsi="仿宋_GB2312" w:hint="eastAsia"/>
          <w:sz w:val="32"/>
          <w:szCs w:val="32"/>
        </w:rPr>
        <w:t>的</w:t>
      </w:r>
      <w:r w:rsidR="000F3338">
        <w:rPr>
          <w:rStyle w:val="font31"/>
          <w:rFonts w:hAnsi="仿宋_GB2312" w:hint="eastAsia"/>
          <w:sz w:val="32"/>
          <w:szCs w:val="32"/>
        </w:rPr>
        <w:t>109.5</w:t>
      </w:r>
      <w:r>
        <w:rPr>
          <w:rStyle w:val="font31"/>
          <w:rFonts w:hAnsi="仿宋_GB2312" w:hint="eastAsia"/>
          <w:sz w:val="32"/>
          <w:szCs w:val="32"/>
        </w:rPr>
        <w:t>%，其中：基本支出2136.58万元，项目支出5283.48万元。</w:t>
      </w:r>
    </w:p>
    <w:p w:rsidR="0079352D" w:rsidRDefault="0079352D">
      <w:pPr>
        <w:spacing w:line="576" w:lineRule="exact"/>
        <w:ind w:firstLineChars="200" w:firstLine="640"/>
        <w:rPr>
          <w:rStyle w:val="font31"/>
          <w:rFonts w:hAnsi="仿宋_GB2312" w:hint="eastAsia"/>
          <w:sz w:val="32"/>
          <w:szCs w:val="32"/>
        </w:rPr>
      </w:pPr>
    </w:p>
    <w:tbl>
      <w:tblPr>
        <w:tblW w:w="7480" w:type="dxa"/>
        <w:tblInd w:w="638" w:type="dxa"/>
        <w:tblLook w:val="04A0"/>
      </w:tblPr>
      <w:tblGrid>
        <w:gridCol w:w="1030"/>
        <w:gridCol w:w="950"/>
        <w:gridCol w:w="1320"/>
        <w:gridCol w:w="960"/>
        <w:gridCol w:w="960"/>
        <w:gridCol w:w="1300"/>
        <w:gridCol w:w="960"/>
      </w:tblGrid>
      <w:tr w:rsidR="000F3338" w:rsidRPr="000F3338" w:rsidTr="000F3338">
        <w:trPr>
          <w:trHeight w:val="255"/>
        </w:trPr>
        <w:tc>
          <w:tcPr>
            <w:tcW w:w="103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预算情况</w:t>
            </w:r>
          </w:p>
        </w:tc>
        <w:tc>
          <w:tcPr>
            <w:tcW w:w="9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合计</w:t>
            </w:r>
          </w:p>
        </w:tc>
        <w:tc>
          <w:tcPr>
            <w:tcW w:w="3240" w:type="dxa"/>
            <w:gridSpan w:val="3"/>
            <w:tcBorders>
              <w:top w:val="single" w:sz="4" w:space="0" w:color="auto"/>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基本支出</w:t>
            </w:r>
          </w:p>
        </w:tc>
        <w:tc>
          <w:tcPr>
            <w:tcW w:w="2260" w:type="dxa"/>
            <w:gridSpan w:val="2"/>
            <w:tcBorders>
              <w:top w:val="single" w:sz="4" w:space="0" w:color="auto"/>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项目支出</w:t>
            </w:r>
          </w:p>
        </w:tc>
      </w:tr>
      <w:tr w:rsidR="000F3338" w:rsidRPr="000F3338" w:rsidTr="000F3338">
        <w:trPr>
          <w:trHeight w:val="255"/>
        </w:trPr>
        <w:tc>
          <w:tcPr>
            <w:tcW w:w="1030" w:type="dxa"/>
            <w:vMerge/>
            <w:tcBorders>
              <w:top w:val="single" w:sz="4" w:space="0" w:color="auto"/>
              <w:left w:val="single" w:sz="4" w:space="0" w:color="auto"/>
              <w:bottom w:val="single" w:sz="4" w:space="0" w:color="000000"/>
              <w:right w:val="single" w:sz="4" w:space="0" w:color="auto"/>
            </w:tcBorders>
            <w:vAlign w:val="center"/>
            <w:hideMark/>
          </w:tcPr>
          <w:p w:rsidR="000F3338" w:rsidRPr="000F3338" w:rsidRDefault="000F3338" w:rsidP="000F3338">
            <w:pPr>
              <w:widowControl/>
              <w:jc w:val="left"/>
              <w:rPr>
                <w:rFonts w:ascii="宋体" w:hAnsi="宋体" w:cs="Arial"/>
                <w:color w:val="000000"/>
                <w:kern w:val="0"/>
                <w:sz w:val="20"/>
                <w:szCs w:val="20"/>
              </w:rPr>
            </w:pPr>
          </w:p>
        </w:tc>
        <w:tc>
          <w:tcPr>
            <w:tcW w:w="950" w:type="dxa"/>
            <w:vMerge/>
            <w:tcBorders>
              <w:top w:val="single" w:sz="4" w:space="0" w:color="auto"/>
              <w:left w:val="single" w:sz="4" w:space="0" w:color="auto"/>
              <w:bottom w:val="single" w:sz="4" w:space="0" w:color="auto"/>
              <w:right w:val="single" w:sz="4" w:space="0" w:color="auto"/>
            </w:tcBorders>
            <w:vAlign w:val="center"/>
            <w:hideMark/>
          </w:tcPr>
          <w:p w:rsidR="000F3338" w:rsidRPr="000F3338" w:rsidRDefault="000F3338" w:rsidP="000F3338">
            <w:pPr>
              <w:widowControl/>
              <w:jc w:val="left"/>
              <w:rPr>
                <w:rFonts w:ascii="宋体" w:hAnsi="宋体" w:cs="Arial"/>
                <w:color w:val="000000"/>
                <w:kern w:val="0"/>
                <w:sz w:val="20"/>
                <w:szCs w:val="20"/>
              </w:rPr>
            </w:pPr>
          </w:p>
        </w:tc>
        <w:tc>
          <w:tcPr>
            <w:tcW w:w="132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小计（万元）</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人员经费</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公用经费</w:t>
            </w:r>
          </w:p>
        </w:tc>
        <w:tc>
          <w:tcPr>
            <w:tcW w:w="130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小计（万元）</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部门预算</w:t>
            </w:r>
          </w:p>
        </w:tc>
      </w:tr>
      <w:tr w:rsidR="000F3338" w:rsidRPr="000F3338" w:rsidTr="000F3338">
        <w:trPr>
          <w:trHeight w:val="465"/>
        </w:trPr>
        <w:tc>
          <w:tcPr>
            <w:tcW w:w="1030" w:type="dxa"/>
            <w:tcBorders>
              <w:top w:val="nil"/>
              <w:left w:val="single" w:sz="4" w:space="0" w:color="auto"/>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年初财政拨款预算</w:t>
            </w:r>
          </w:p>
        </w:tc>
        <w:tc>
          <w:tcPr>
            <w:tcW w:w="95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1783.02</w:t>
            </w:r>
          </w:p>
        </w:tc>
        <w:tc>
          <w:tcPr>
            <w:tcW w:w="132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1500.52</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1345.52</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155</w:t>
            </w:r>
          </w:p>
        </w:tc>
        <w:tc>
          <w:tcPr>
            <w:tcW w:w="130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282.5</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282.5</w:t>
            </w:r>
          </w:p>
        </w:tc>
      </w:tr>
      <w:tr w:rsidR="000F3338" w:rsidRPr="000F3338" w:rsidTr="000F3338">
        <w:trPr>
          <w:trHeight w:val="465"/>
        </w:trPr>
        <w:tc>
          <w:tcPr>
            <w:tcW w:w="1030" w:type="dxa"/>
            <w:tcBorders>
              <w:top w:val="nil"/>
              <w:left w:val="single" w:sz="4" w:space="0" w:color="auto"/>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年初预算</w:t>
            </w:r>
          </w:p>
        </w:tc>
        <w:tc>
          <w:tcPr>
            <w:tcW w:w="95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6775.58</w:t>
            </w:r>
          </w:p>
        </w:tc>
        <w:tc>
          <w:tcPr>
            <w:tcW w:w="132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2368.58</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1879.84</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488.74</w:t>
            </w:r>
          </w:p>
        </w:tc>
        <w:tc>
          <w:tcPr>
            <w:tcW w:w="130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4407</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4407</w:t>
            </w:r>
          </w:p>
        </w:tc>
      </w:tr>
      <w:tr w:rsidR="000F3338" w:rsidRPr="000F3338" w:rsidTr="000F3338">
        <w:trPr>
          <w:trHeight w:val="465"/>
        </w:trPr>
        <w:tc>
          <w:tcPr>
            <w:tcW w:w="1030" w:type="dxa"/>
            <w:tcBorders>
              <w:top w:val="nil"/>
              <w:left w:val="single" w:sz="4" w:space="0" w:color="auto"/>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决算支出</w:t>
            </w:r>
          </w:p>
        </w:tc>
        <w:tc>
          <w:tcPr>
            <w:tcW w:w="95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7420.06</w:t>
            </w:r>
          </w:p>
        </w:tc>
        <w:tc>
          <w:tcPr>
            <w:tcW w:w="132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2136.58</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1979.7</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156.88</w:t>
            </w:r>
          </w:p>
        </w:tc>
        <w:tc>
          <w:tcPr>
            <w:tcW w:w="130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5283.48</w:t>
            </w:r>
          </w:p>
        </w:tc>
        <w:tc>
          <w:tcPr>
            <w:tcW w:w="960" w:type="dxa"/>
            <w:tcBorders>
              <w:top w:val="nil"/>
              <w:left w:val="nil"/>
              <w:bottom w:val="single" w:sz="4" w:space="0" w:color="auto"/>
              <w:right w:val="single" w:sz="4" w:space="0" w:color="auto"/>
            </w:tcBorders>
            <w:shd w:val="clear" w:color="auto" w:fill="auto"/>
            <w:vAlign w:val="center"/>
            <w:hideMark/>
          </w:tcPr>
          <w:p w:rsidR="000F3338" w:rsidRPr="000F3338" w:rsidRDefault="000F3338" w:rsidP="000F3338">
            <w:pPr>
              <w:widowControl/>
              <w:jc w:val="center"/>
              <w:rPr>
                <w:rFonts w:ascii="宋体" w:hAnsi="宋体" w:cs="Arial"/>
                <w:color w:val="000000"/>
                <w:kern w:val="0"/>
                <w:sz w:val="20"/>
                <w:szCs w:val="20"/>
              </w:rPr>
            </w:pPr>
            <w:r w:rsidRPr="000F3338">
              <w:rPr>
                <w:rFonts w:ascii="宋体" w:hAnsi="宋体" w:cs="Arial" w:hint="eastAsia"/>
                <w:color w:val="000000"/>
                <w:kern w:val="0"/>
                <w:sz w:val="20"/>
                <w:szCs w:val="20"/>
              </w:rPr>
              <w:t>5283.48</w:t>
            </w:r>
          </w:p>
        </w:tc>
      </w:tr>
    </w:tbl>
    <w:p w:rsidR="000F3338" w:rsidRDefault="000F3338">
      <w:pPr>
        <w:spacing w:line="576" w:lineRule="exact"/>
        <w:ind w:firstLineChars="200" w:firstLine="640"/>
        <w:rPr>
          <w:rStyle w:val="font31"/>
          <w:rFonts w:hAnsi="仿宋_GB2312"/>
          <w:sz w:val="32"/>
          <w:szCs w:val="32"/>
        </w:rPr>
      </w:pP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2.使用方向和主要内容、涉及范围</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2020年城郊街道办事处预算支出主要包括人员经费支出和公用经费支出及项目支出。</w:t>
      </w:r>
    </w:p>
    <w:p w:rsidR="00C15D18" w:rsidRDefault="00927AE7">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t>二、部门整体支出管理及使用情况</w:t>
      </w:r>
    </w:p>
    <w:p w:rsidR="00C15D18" w:rsidRDefault="00927AE7">
      <w:pPr>
        <w:spacing w:line="576" w:lineRule="exact"/>
        <w:ind w:firstLineChars="200" w:firstLine="643"/>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（一）基本支出</w:t>
      </w:r>
    </w:p>
    <w:p w:rsidR="00C15D18" w:rsidRDefault="00927AE7">
      <w:pPr>
        <w:spacing w:line="576" w:lineRule="exact"/>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1.基本支出管理</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根据《中华人民共和国预算法》《财政部关于财政支绩效评价管理暂行管理办法》《宁乡市乡镇财政资金监管实施办法》等上级相关文件的要求，城郊街道办事处制定了《2020年度城郊街道机关财务管理制度》，明确了三公经费、固定资产管理、预</w:t>
      </w:r>
      <w:r>
        <w:rPr>
          <w:rStyle w:val="font31"/>
          <w:rFonts w:hAnsi="仿宋_GB2312" w:hint="eastAsia"/>
          <w:sz w:val="32"/>
          <w:szCs w:val="32"/>
        </w:rPr>
        <w:lastRenderedPageBreak/>
        <w:t>算资金绩效管理、财政性专项资金监督管理、财务报账事前审批细则和流程，根据以上要求加强我街道财务监督和财务管理。</w:t>
      </w:r>
    </w:p>
    <w:p w:rsidR="00C15D18" w:rsidRDefault="00927AE7">
      <w:pPr>
        <w:spacing w:line="576" w:lineRule="exact"/>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2.基本支出使用情况</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本年一般公共预算财政拨款收入4596.43万元，支出4596.43万元，其中基本支出2125.06万元，项目支出2471.37万元。基本支出按经济分类其中人员经费1973.17万元，日常公用经费151.89万元。</w:t>
      </w:r>
    </w:p>
    <w:p w:rsidR="00C15D18" w:rsidRDefault="00927AE7">
      <w:pPr>
        <w:spacing w:line="576" w:lineRule="exact"/>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3.“三公”经费情况</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2020年“三公”经费预算数为23.85万元，其中，公务接待费19.85万元，公务用车购置及运行费4万元（其中，公务用车运行费4万元），因公出国（境）费0万元。2020年“三公”经费决算数为8.33万元，其中，公务接待费4.33万元，公务用车购置及运行费4万元（其中，公务用车运行费4万元），因公出国（境）费0万元。主要是压减三公经费，公务接待费减少。</w:t>
      </w:r>
    </w:p>
    <w:p w:rsidR="00C15D18" w:rsidRDefault="00927AE7">
      <w:pPr>
        <w:spacing w:line="576" w:lineRule="exact"/>
        <w:ind w:firstLineChars="200" w:firstLine="643"/>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项目支出</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2020年度项目资金共5283.48万元，其中财政拨款2480.67万元，其他资金2802.81万元。</w:t>
      </w:r>
    </w:p>
    <w:tbl>
      <w:tblPr>
        <w:tblW w:w="8772" w:type="dxa"/>
        <w:tblLayout w:type="fixed"/>
        <w:tblLook w:val="04A0"/>
      </w:tblPr>
      <w:tblGrid>
        <w:gridCol w:w="1197"/>
        <w:gridCol w:w="924"/>
        <w:gridCol w:w="216"/>
        <w:gridCol w:w="776"/>
        <w:gridCol w:w="178"/>
        <w:gridCol w:w="936"/>
        <w:gridCol w:w="915"/>
        <w:gridCol w:w="1050"/>
        <w:gridCol w:w="1185"/>
        <w:gridCol w:w="1395"/>
      </w:tblGrid>
      <w:tr w:rsidR="00C15D18">
        <w:trPr>
          <w:trHeight w:val="312"/>
        </w:trPr>
        <w:tc>
          <w:tcPr>
            <w:tcW w:w="8772" w:type="dxa"/>
            <w:gridSpan w:val="10"/>
            <w:vMerge w:val="restart"/>
            <w:tcBorders>
              <w:top w:val="nil"/>
              <w:left w:val="nil"/>
              <w:bottom w:val="nil"/>
              <w:right w:val="nil"/>
            </w:tcBorders>
            <w:shd w:val="clear" w:color="auto" w:fill="auto"/>
            <w:noWrap/>
            <w:vAlign w:val="center"/>
          </w:tcPr>
          <w:p w:rsidR="00C15D18" w:rsidRDefault="00C15D18" w:rsidP="00927AE7">
            <w:pPr>
              <w:widowControl/>
              <w:rPr>
                <w:rFonts w:ascii="宋体" w:hAnsi="宋体" w:cs="Arial"/>
                <w:color w:val="000000"/>
                <w:kern w:val="0"/>
                <w:sz w:val="24"/>
              </w:rPr>
            </w:pPr>
          </w:p>
        </w:tc>
      </w:tr>
      <w:tr w:rsidR="00C15D18">
        <w:trPr>
          <w:trHeight w:val="312"/>
        </w:trPr>
        <w:tc>
          <w:tcPr>
            <w:tcW w:w="8772" w:type="dxa"/>
            <w:gridSpan w:val="10"/>
            <w:vMerge/>
            <w:tcBorders>
              <w:top w:val="nil"/>
              <w:left w:val="nil"/>
              <w:bottom w:val="nil"/>
              <w:right w:val="nil"/>
            </w:tcBorders>
            <w:vAlign w:val="center"/>
          </w:tcPr>
          <w:p w:rsidR="00C15D18" w:rsidRDefault="00C15D18">
            <w:pPr>
              <w:widowControl/>
              <w:jc w:val="left"/>
              <w:rPr>
                <w:rFonts w:ascii="宋体" w:hAnsi="宋体" w:cs="Arial"/>
                <w:color w:val="000000"/>
                <w:kern w:val="0"/>
                <w:sz w:val="24"/>
              </w:rPr>
            </w:pPr>
          </w:p>
        </w:tc>
      </w:tr>
      <w:tr w:rsidR="00C15D18">
        <w:trPr>
          <w:trHeight w:val="300"/>
        </w:trPr>
        <w:tc>
          <w:tcPr>
            <w:tcW w:w="1197" w:type="dxa"/>
            <w:tcBorders>
              <w:top w:val="nil"/>
              <w:left w:val="nil"/>
              <w:bottom w:val="single" w:sz="4" w:space="0" w:color="auto"/>
              <w:right w:val="nil"/>
            </w:tcBorders>
            <w:shd w:val="clear" w:color="auto" w:fill="auto"/>
            <w:noWrap/>
            <w:vAlign w:val="bottom"/>
          </w:tcPr>
          <w:p w:rsidR="00C15D18" w:rsidRDefault="00C15D18">
            <w:pPr>
              <w:widowControl/>
              <w:jc w:val="left"/>
              <w:rPr>
                <w:rFonts w:ascii="Arial" w:hAnsi="Arial" w:cs="Arial"/>
                <w:color w:val="000000"/>
                <w:kern w:val="0"/>
                <w:sz w:val="24"/>
              </w:rPr>
            </w:pPr>
          </w:p>
        </w:tc>
        <w:tc>
          <w:tcPr>
            <w:tcW w:w="1140" w:type="dxa"/>
            <w:gridSpan w:val="2"/>
            <w:tcBorders>
              <w:top w:val="nil"/>
              <w:left w:val="nil"/>
              <w:bottom w:val="single" w:sz="4" w:space="0" w:color="auto"/>
              <w:right w:val="nil"/>
            </w:tcBorders>
            <w:shd w:val="clear" w:color="auto" w:fill="auto"/>
            <w:noWrap/>
            <w:vAlign w:val="bottom"/>
          </w:tcPr>
          <w:p w:rsidR="00C15D18" w:rsidRDefault="00C15D18">
            <w:pPr>
              <w:widowControl/>
              <w:jc w:val="left"/>
              <w:rPr>
                <w:rFonts w:ascii="Arial" w:hAnsi="Arial" w:cs="Arial"/>
                <w:color w:val="000000"/>
                <w:kern w:val="0"/>
                <w:sz w:val="24"/>
              </w:rPr>
            </w:pPr>
          </w:p>
        </w:tc>
        <w:tc>
          <w:tcPr>
            <w:tcW w:w="954" w:type="dxa"/>
            <w:gridSpan w:val="2"/>
            <w:tcBorders>
              <w:top w:val="nil"/>
              <w:left w:val="nil"/>
              <w:bottom w:val="single" w:sz="4" w:space="0" w:color="auto"/>
              <w:right w:val="nil"/>
            </w:tcBorders>
            <w:shd w:val="clear" w:color="auto" w:fill="auto"/>
            <w:noWrap/>
            <w:vAlign w:val="bottom"/>
          </w:tcPr>
          <w:p w:rsidR="00C15D18" w:rsidRDefault="00C15D18">
            <w:pPr>
              <w:widowControl/>
              <w:jc w:val="left"/>
              <w:rPr>
                <w:rFonts w:ascii="Arial" w:hAnsi="Arial" w:cs="Arial"/>
                <w:color w:val="000000"/>
                <w:kern w:val="0"/>
                <w:sz w:val="24"/>
              </w:rPr>
            </w:pPr>
          </w:p>
        </w:tc>
        <w:tc>
          <w:tcPr>
            <w:tcW w:w="936" w:type="dxa"/>
            <w:tcBorders>
              <w:top w:val="nil"/>
              <w:left w:val="nil"/>
              <w:bottom w:val="single" w:sz="4" w:space="0" w:color="auto"/>
              <w:right w:val="nil"/>
            </w:tcBorders>
            <w:shd w:val="clear" w:color="auto" w:fill="auto"/>
            <w:noWrap/>
            <w:vAlign w:val="bottom"/>
          </w:tcPr>
          <w:p w:rsidR="00C15D18" w:rsidRDefault="00C15D18">
            <w:pPr>
              <w:widowControl/>
              <w:jc w:val="left"/>
              <w:rPr>
                <w:rFonts w:ascii="Arial" w:hAnsi="Arial" w:cs="Arial"/>
                <w:color w:val="000000"/>
                <w:kern w:val="0"/>
                <w:sz w:val="24"/>
              </w:rPr>
            </w:pPr>
          </w:p>
        </w:tc>
        <w:tc>
          <w:tcPr>
            <w:tcW w:w="915" w:type="dxa"/>
            <w:tcBorders>
              <w:top w:val="nil"/>
              <w:left w:val="nil"/>
              <w:bottom w:val="single" w:sz="4" w:space="0" w:color="auto"/>
              <w:right w:val="nil"/>
            </w:tcBorders>
            <w:shd w:val="clear" w:color="auto" w:fill="auto"/>
            <w:noWrap/>
            <w:vAlign w:val="bottom"/>
          </w:tcPr>
          <w:p w:rsidR="00C15D18" w:rsidRDefault="00C15D18">
            <w:pPr>
              <w:widowControl/>
              <w:jc w:val="left"/>
              <w:rPr>
                <w:rFonts w:ascii="Arial" w:hAnsi="Arial" w:cs="Arial"/>
                <w:color w:val="000000"/>
                <w:kern w:val="0"/>
                <w:sz w:val="24"/>
              </w:rPr>
            </w:pPr>
          </w:p>
        </w:tc>
        <w:tc>
          <w:tcPr>
            <w:tcW w:w="3630" w:type="dxa"/>
            <w:gridSpan w:val="3"/>
            <w:tcBorders>
              <w:top w:val="nil"/>
              <w:left w:val="nil"/>
              <w:bottom w:val="single" w:sz="4" w:space="0" w:color="auto"/>
              <w:right w:val="nil"/>
            </w:tcBorders>
            <w:shd w:val="clear" w:color="auto" w:fill="auto"/>
            <w:noWrap/>
            <w:vAlign w:val="bottom"/>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金额单位：万元</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 xml:space="preserve">　</w:t>
            </w:r>
          </w:p>
        </w:tc>
        <w:tc>
          <w:tcPr>
            <w:tcW w:w="3945" w:type="dxa"/>
            <w:gridSpan w:val="6"/>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资金来源</w:t>
            </w:r>
          </w:p>
        </w:tc>
        <w:tc>
          <w:tcPr>
            <w:tcW w:w="3630" w:type="dxa"/>
            <w:gridSpan w:val="3"/>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支出数</w:t>
            </w:r>
          </w:p>
        </w:tc>
      </w:tr>
      <w:tr w:rsidR="00C15D18">
        <w:trPr>
          <w:trHeight w:val="308"/>
        </w:trPr>
        <w:tc>
          <w:tcPr>
            <w:tcW w:w="1197" w:type="dxa"/>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项目</w:t>
            </w:r>
          </w:p>
        </w:tc>
        <w:tc>
          <w:tcPr>
            <w:tcW w:w="924" w:type="dxa"/>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合计</w:t>
            </w:r>
          </w:p>
        </w:tc>
        <w:tc>
          <w:tcPr>
            <w:tcW w:w="2106" w:type="dxa"/>
            <w:gridSpan w:val="4"/>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财政拨款</w:t>
            </w:r>
          </w:p>
        </w:tc>
        <w:tc>
          <w:tcPr>
            <w:tcW w:w="915" w:type="dxa"/>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其他资金</w:t>
            </w:r>
          </w:p>
        </w:tc>
        <w:tc>
          <w:tcPr>
            <w:tcW w:w="1050" w:type="dxa"/>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合计</w:t>
            </w:r>
          </w:p>
        </w:tc>
        <w:tc>
          <w:tcPr>
            <w:tcW w:w="1185" w:type="dxa"/>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财政拨款</w:t>
            </w:r>
          </w:p>
        </w:tc>
        <w:tc>
          <w:tcPr>
            <w:tcW w:w="1395" w:type="dxa"/>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其他资金</w:t>
            </w:r>
          </w:p>
        </w:tc>
      </w:tr>
      <w:tr w:rsidR="00C15D18">
        <w:trPr>
          <w:trHeight w:val="312"/>
        </w:trPr>
        <w:tc>
          <w:tcPr>
            <w:tcW w:w="1197"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924"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992" w:type="dxa"/>
            <w:gridSpan w:val="2"/>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小计</w:t>
            </w:r>
          </w:p>
        </w:tc>
        <w:tc>
          <w:tcPr>
            <w:tcW w:w="1114" w:type="dxa"/>
            <w:gridSpan w:val="2"/>
            <w:vMerge w:val="restart"/>
            <w:tcBorders>
              <w:top w:val="single" w:sz="4" w:space="0" w:color="auto"/>
              <w:left w:val="single" w:sz="4" w:space="0" w:color="auto"/>
              <w:bottom w:val="single" w:sz="4" w:space="0" w:color="auto"/>
              <w:right w:val="single" w:sz="4" w:space="0" w:color="auto"/>
            </w:tcBorders>
            <w:shd w:val="clear" w:color="FFFFFF" w:fill="FFFFFF"/>
            <w:vAlign w:val="center"/>
          </w:tcPr>
          <w:p w:rsidR="00C15D18" w:rsidRDefault="00927AE7">
            <w:pPr>
              <w:widowControl/>
              <w:jc w:val="center"/>
              <w:rPr>
                <w:rFonts w:ascii="宋体" w:hAnsi="宋体" w:cs="Arial"/>
                <w:color w:val="000000"/>
                <w:kern w:val="0"/>
                <w:sz w:val="22"/>
                <w:szCs w:val="22"/>
              </w:rPr>
            </w:pPr>
            <w:r>
              <w:rPr>
                <w:rFonts w:ascii="宋体" w:hAnsi="宋体" w:cs="Arial" w:hint="eastAsia"/>
                <w:color w:val="000000"/>
                <w:kern w:val="0"/>
                <w:sz w:val="22"/>
                <w:szCs w:val="22"/>
              </w:rPr>
              <w:t>其中：基本建设支出拨款</w:t>
            </w:r>
          </w:p>
        </w:tc>
        <w:tc>
          <w:tcPr>
            <w:tcW w:w="915"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1050"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1185"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1395"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r>
      <w:tr w:rsidR="00C15D18">
        <w:trPr>
          <w:trHeight w:val="312"/>
        </w:trPr>
        <w:tc>
          <w:tcPr>
            <w:tcW w:w="1197"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924"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992" w:type="dxa"/>
            <w:gridSpan w:val="2"/>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1114" w:type="dxa"/>
            <w:gridSpan w:val="2"/>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915"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1050"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1185"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c>
          <w:tcPr>
            <w:tcW w:w="1395" w:type="dxa"/>
            <w:vMerge/>
            <w:tcBorders>
              <w:top w:val="single" w:sz="4" w:space="0" w:color="auto"/>
              <w:left w:val="single" w:sz="4" w:space="0" w:color="auto"/>
              <w:bottom w:val="single" w:sz="4" w:space="0" w:color="auto"/>
              <w:right w:val="single" w:sz="4" w:space="0" w:color="auto"/>
            </w:tcBorders>
            <w:vAlign w:val="center"/>
          </w:tcPr>
          <w:p w:rsidR="00C15D18" w:rsidRDefault="00C15D18">
            <w:pPr>
              <w:widowControl/>
              <w:jc w:val="left"/>
              <w:rPr>
                <w:rFonts w:ascii="宋体" w:hAnsi="宋体" w:cs="Arial"/>
                <w:color w:val="000000"/>
                <w:kern w:val="0"/>
                <w:sz w:val="22"/>
                <w:szCs w:val="22"/>
              </w:rPr>
            </w:pP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vAlign w:val="center"/>
          </w:tcPr>
          <w:p w:rsidR="00C15D18" w:rsidRDefault="00927AE7">
            <w:pPr>
              <w:widowControl/>
              <w:jc w:val="center"/>
              <w:rPr>
                <w:rFonts w:ascii="宋体" w:hAnsi="宋体" w:cs="Arial"/>
                <w:color w:val="000000"/>
                <w:kern w:val="0"/>
                <w:sz w:val="16"/>
                <w:szCs w:val="16"/>
              </w:rPr>
            </w:pPr>
            <w:r>
              <w:rPr>
                <w:rFonts w:ascii="宋体" w:hAnsi="宋体" w:cs="Arial" w:hint="eastAsia"/>
                <w:color w:val="000000"/>
                <w:kern w:val="0"/>
                <w:sz w:val="16"/>
                <w:szCs w:val="16"/>
              </w:rPr>
              <w:t>—</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5,283.48</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2,480.67</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493.76</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2,802.81</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5,283.48</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2,480.67</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2,802.81</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lastRenderedPageBreak/>
              <w:t>一般行政管理事务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34.76</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34.76</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34.76</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34.76</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人大会议</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1.25</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1.25</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1.25</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1.25</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代表工作</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一般行政管理事务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2,571.07</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1,042.62</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1,528.44</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2,571.07</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1,042.62</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1,528.44</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非税汇缴户拨入资金</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74.55</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74.55</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74.55</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74.55</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专项普查活动</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22.60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22.60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22.60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22.60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一般行政管理事务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19.00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19.00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其他财政事务支出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一般行政管理事务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5.86</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5.86</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5.86</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5.86</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专项业务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一般行政管理事务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81.08</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78.08</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81.08</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78.08</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一般行政管理事务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3.12</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3.12</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3.12</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3.12</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食品安全监管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1.52</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1.52</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1.52</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1.52</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其他市场监督管理事务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7.63</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7.63</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7.63</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7.63</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 xml:space="preserve"> 社区戒毒（康复）示范点奖励、扶植经费（2019年结转）</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29.22</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17.22</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29.22</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17.22</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其他公安支出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240.00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240.00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240.00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240.00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其他普通教育支出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42.00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42.00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42.00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42.00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其他教育费附加安排的支出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92.55</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92.55</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92.55</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92.55</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其他教育支出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群众文化</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15.64</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15.64</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15.64</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15.64</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其他文化和旅游支出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4.20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0.20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4.20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0.20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历史名城与古迹</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其他文化旅游</w:t>
            </w:r>
            <w:r>
              <w:rPr>
                <w:rFonts w:ascii="宋体" w:hAnsi="宋体" w:cs="Arial" w:hint="eastAsia"/>
                <w:color w:val="000000"/>
                <w:kern w:val="0"/>
                <w:sz w:val="16"/>
                <w:szCs w:val="16"/>
              </w:rPr>
              <w:lastRenderedPageBreak/>
              <w:t>体育与传媒支出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lastRenderedPageBreak/>
              <w:t>25.00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lastRenderedPageBreak/>
              <w:t>一般行政管理事务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2.55</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2.55</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2.55</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2.55</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就业管理事务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7.39</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7.39</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7.39</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7.39</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其他人力资源和社会保障管理事务支出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0.09</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0.09</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0.09</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0.09</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基层政权建设和社区治理</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其他民政管理事务支出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32.20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7.20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32.20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7.20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其他就业补助支出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14.74</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13.88</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0.87</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14.74</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13.88</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0.87</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死亡抚恤</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3.64</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3.64</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3.64</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3.64</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其他优抚支出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2.53</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2.53</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2.53</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2.53</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退役士兵安置</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22.78</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14.77</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8.01</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22.78</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14.77</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8.01</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军队转业干部安置</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9.42</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9.42</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9.42</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9.42</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老年福利</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61.43</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61.43</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61.43</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61.43</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其他社会福利支出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12.94</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12.94</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12.94</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12.94</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残疾人康复</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其他残疾人事业支出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5.80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4.30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5.80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4.30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临时救助支出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12.68</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12.68</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12.68</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12.68</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拥军优属</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2.98</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2.98</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2.98</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2.98</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一般行政管理事务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7.80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7.80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7.80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7.80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乡镇卫生院</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315.70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315.70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315.70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315.70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基本公共卫生服务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6.91</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6.91</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6.91</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6.91</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突发公共卫生事件应急处理</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110.69</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31.40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79.29</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110.69</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31.40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79.29</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其他公共卫生支出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0.36</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0.36</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0.36</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0.36</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其他计划生育事务支出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1.52</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1.52</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1.52</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1.52</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城乡医疗救助</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1.90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1.90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1.90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1.90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农村环境保护</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196.50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42.00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154.50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196.50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42.00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154.50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lastRenderedPageBreak/>
              <w:t>能源节约利用</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城管执法</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160.00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160.00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其他城乡社区公共设施支出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9.00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一般行政管理事务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7.40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7.40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7.40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7.40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科技转化与推广服务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1.61</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1.61</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1.61</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1.61</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病虫害控制</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2.20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2.20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2.20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2.20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执法监管</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0.50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0.50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0.50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0.50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农村社会事业</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74.88</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47.03</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27.85</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74.88</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47.03</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27.85</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其他农业农村支出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72.04</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52.04</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72.04</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52.04</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农村水利</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3.00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生产发展</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0.69</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0.69</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0.69</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0.69</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其他扶贫支出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1.82</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1.82</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1.82</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1.82</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对村民委员会和村党支部的补助</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251.46</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204.61</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46.85</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251.46</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204.61</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46.85</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公路建设</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0.27</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0.27</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0.27</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0.27</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公路养护</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18.40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13.40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18.40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13.40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其他公路水路运输支出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14.95</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10.60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4.35</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14.95</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10.60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4.35</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工业和信息产业支持</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24.72</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24.72</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24.72</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24.72</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老旧小区改造</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233.62</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233.62</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233.62</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233.62</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233.62</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其他保障性安居工程支出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260.14</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260.14</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260.14</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260.14</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260.14</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其他应急管理支出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地质灾害防治</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12.30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12.30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12.30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12.30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用于社会福利的彩票公益金支出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5.00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5.00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5.00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5.00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r w:rsidR="00C15D18">
        <w:trPr>
          <w:trHeight w:val="308"/>
        </w:trPr>
        <w:tc>
          <w:tcPr>
            <w:tcW w:w="119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16"/>
                <w:szCs w:val="16"/>
              </w:rPr>
            </w:pPr>
            <w:r>
              <w:rPr>
                <w:rFonts w:ascii="宋体" w:hAnsi="宋体" w:cs="Arial" w:hint="eastAsia"/>
                <w:color w:val="000000"/>
                <w:kern w:val="0"/>
                <w:sz w:val="16"/>
                <w:szCs w:val="16"/>
              </w:rPr>
              <w:t>其他抗疫相关支出</w:t>
            </w:r>
          </w:p>
        </w:tc>
        <w:tc>
          <w:tcPr>
            <w:tcW w:w="9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4.30</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4.30</w:t>
            </w:r>
          </w:p>
        </w:tc>
        <w:tc>
          <w:tcPr>
            <w:tcW w:w="1114"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9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c>
          <w:tcPr>
            <w:tcW w:w="10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4.30</w:t>
            </w:r>
          </w:p>
        </w:tc>
        <w:tc>
          <w:tcPr>
            <w:tcW w:w="11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4.30</w:t>
            </w:r>
          </w:p>
        </w:tc>
        <w:tc>
          <w:tcPr>
            <w:tcW w:w="13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color w:val="000000"/>
                <w:kern w:val="0"/>
                <w:sz w:val="16"/>
                <w:szCs w:val="16"/>
              </w:rPr>
            </w:pPr>
            <w:r>
              <w:rPr>
                <w:rFonts w:ascii="宋体" w:hAnsi="宋体" w:cs="Arial" w:hint="eastAsia"/>
                <w:color w:val="000000"/>
                <w:kern w:val="0"/>
                <w:sz w:val="16"/>
                <w:szCs w:val="16"/>
              </w:rPr>
              <w:t>0.00</w:t>
            </w:r>
          </w:p>
        </w:tc>
      </w:tr>
    </w:tbl>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2.项目资金全部按要求及项目建设进度落实到位。项目全程监管，按上级及项目要求推进项目实施。其中部分重点支出项目</w:t>
      </w:r>
      <w:r>
        <w:rPr>
          <w:rStyle w:val="font31"/>
          <w:rFonts w:hAnsi="仿宋_GB2312" w:hint="eastAsia"/>
          <w:sz w:val="32"/>
          <w:szCs w:val="32"/>
        </w:rPr>
        <w:lastRenderedPageBreak/>
        <w:t>支出完成情况列示如下表：</w:t>
      </w:r>
    </w:p>
    <w:tbl>
      <w:tblPr>
        <w:tblW w:w="8772" w:type="dxa"/>
        <w:tblLayout w:type="fixed"/>
        <w:tblLook w:val="04A0"/>
      </w:tblPr>
      <w:tblGrid>
        <w:gridCol w:w="456"/>
        <w:gridCol w:w="2232"/>
        <w:gridCol w:w="1209"/>
        <w:gridCol w:w="3045"/>
        <w:gridCol w:w="1215"/>
        <w:gridCol w:w="615"/>
      </w:tblGrid>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bookmarkStart w:id="0" w:name="_GoBack" w:colFirst="0" w:colLast="5"/>
            <w:r>
              <w:rPr>
                <w:rFonts w:ascii="宋体" w:hAnsi="宋体" w:cs="Arial" w:hint="eastAsia"/>
                <w:color w:val="000000"/>
                <w:kern w:val="0"/>
                <w:sz w:val="20"/>
                <w:szCs w:val="20"/>
              </w:rPr>
              <w:t>序号</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项目名称</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投入资金</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项目资金使用情况</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竣工验收情况</w:t>
            </w:r>
          </w:p>
        </w:tc>
        <w:tc>
          <w:tcPr>
            <w:tcW w:w="6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备注</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C15D18" w:rsidRDefault="00927AE7">
            <w:pPr>
              <w:widowControl/>
              <w:jc w:val="center"/>
              <w:rPr>
                <w:rFonts w:ascii="仿宋_GB2312" w:eastAsia="仿宋_GB2312" w:hAnsi="Arial" w:cs="Arial"/>
                <w:color w:val="000000"/>
                <w:kern w:val="0"/>
                <w:sz w:val="24"/>
              </w:rPr>
            </w:pPr>
            <w:r>
              <w:rPr>
                <w:rFonts w:ascii="仿宋_GB2312" w:eastAsia="仿宋_GB2312" w:hAnsi="Arial" w:cs="Arial" w:hint="eastAsia"/>
                <w:color w:val="000000"/>
                <w:kern w:val="0"/>
                <w:sz w:val="24"/>
              </w:rPr>
              <w:t>1</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政府一般行政管理事务</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2,571.07</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完成党建、文明创建等工作。</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center"/>
              <w:rPr>
                <w:rFonts w:ascii="Arial" w:hAnsi="Arial" w:cs="Arial"/>
                <w:color w:val="000000"/>
                <w:kern w:val="0"/>
                <w:sz w:val="20"/>
                <w:szCs w:val="20"/>
              </w:rPr>
            </w:pPr>
            <w:r>
              <w:rPr>
                <w:rFonts w:ascii="Arial" w:hAnsi="Arial" w:cs="Arial"/>
                <w:color w:val="000000"/>
                <w:kern w:val="0"/>
                <w:sz w:val="20"/>
                <w:szCs w:val="20"/>
              </w:rPr>
              <w:t>2</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其他公安支出</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240.00</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全街道的治安巡逻劳务支出</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C15D18" w:rsidRDefault="00927AE7">
            <w:pPr>
              <w:widowControl/>
              <w:jc w:val="center"/>
              <w:rPr>
                <w:rFonts w:ascii="仿宋_GB2312" w:eastAsia="仿宋_GB2312" w:hAnsi="Arial" w:cs="Arial"/>
                <w:color w:val="000000"/>
                <w:kern w:val="0"/>
                <w:sz w:val="24"/>
              </w:rPr>
            </w:pPr>
            <w:r>
              <w:rPr>
                <w:rFonts w:ascii="仿宋_GB2312" w:eastAsia="仿宋_GB2312" w:hAnsi="Arial" w:cs="Arial" w:hint="eastAsia"/>
                <w:color w:val="000000"/>
                <w:kern w:val="0"/>
                <w:sz w:val="24"/>
              </w:rPr>
              <w:t>3</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其他普通教育支出</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42.00</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城郊中小维修维护</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center"/>
              <w:rPr>
                <w:rFonts w:ascii="Arial" w:hAnsi="Arial" w:cs="Arial"/>
                <w:color w:val="000000"/>
                <w:kern w:val="0"/>
                <w:sz w:val="20"/>
                <w:szCs w:val="20"/>
              </w:rPr>
            </w:pPr>
            <w:r>
              <w:rPr>
                <w:rFonts w:ascii="Arial" w:hAnsi="Arial" w:cs="Arial"/>
                <w:color w:val="000000"/>
                <w:kern w:val="0"/>
                <w:sz w:val="20"/>
                <w:szCs w:val="20"/>
              </w:rPr>
              <w:t>4</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其他教育费附加安排的支出</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92.55</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城郊中小、九年制学校、檀树湾中学维修维护</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C15D18" w:rsidRDefault="00927AE7">
            <w:pPr>
              <w:widowControl/>
              <w:jc w:val="center"/>
              <w:rPr>
                <w:rFonts w:ascii="仿宋_GB2312" w:eastAsia="仿宋_GB2312" w:hAnsi="Arial" w:cs="Arial"/>
                <w:color w:val="000000"/>
                <w:kern w:val="0"/>
                <w:sz w:val="24"/>
              </w:rPr>
            </w:pPr>
            <w:r>
              <w:rPr>
                <w:rFonts w:ascii="仿宋_GB2312" w:eastAsia="仿宋_GB2312" w:hAnsi="Arial" w:cs="Arial" w:hint="eastAsia"/>
                <w:color w:val="000000"/>
                <w:kern w:val="0"/>
                <w:sz w:val="24"/>
              </w:rPr>
              <w:t>5</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乡镇卫生院</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315.70</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卫生院建设</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center"/>
              <w:rPr>
                <w:rFonts w:ascii="Arial" w:hAnsi="Arial" w:cs="Arial"/>
                <w:color w:val="000000"/>
                <w:kern w:val="0"/>
                <w:sz w:val="20"/>
                <w:szCs w:val="20"/>
              </w:rPr>
            </w:pPr>
            <w:r>
              <w:rPr>
                <w:rFonts w:ascii="Arial" w:hAnsi="Arial" w:cs="Arial"/>
                <w:color w:val="000000"/>
                <w:kern w:val="0"/>
                <w:sz w:val="20"/>
                <w:szCs w:val="20"/>
              </w:rPr>
              <w:t>6</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突发公共卫生事件应急处理</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110.69</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用于新冠肺炎防控支出</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C15D18" w:rsidRDefault="00927AE7">
            <w:pPr>
              <w:widowControl/>
              <w:jc w:val="center"/>
              <w:rPr>
                <w:rFonts w:ascii="仿宋_GB2312" w:eastAsia="仿宋_GB2312" w:hAnsi="Arial" w:cs="Arial"/>
                <w:color w:val="000000"/>
                <w:kern w:val="0"/>
                <w:sz w:val="24"/>
              </w:rPr>
            </w:pPr>
            <w:r>
              <w:rPr>
                <w:rFonts w:ascii="仿宋_GB2312" w:eastAsia="仿宋_GB2312" w:hAnsi="Arial" w:cs="Arial" w:hint="eastAsia"/>
                <w:color w:val="000000"/>
                <w:kern w:val="0"/>
                <w:sz w:val="24"/>
              </w:rPr>
              <w:t>7</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农村环境保护</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196.50</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环卫整治垃圾清运设施维修</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center"/>
              <w:rPr>
                <w:rFonts w:ascii="Arial" w:hAnsi="Arial" w:cs="Arial"/>
                <w:color w:val="000000"/>
                <w:kern w:val="0"/>
                <w:sz w:val="20"/>
                <w:szCs w:val="20"/>
              </w:rPr>
            </w:pPr>
            <w:r>
              <w:rPr>
                <w:rFonts w:ascii="Arial" w:hAnsi="Arial" w:cs="Arial"/>
                <w:color w:val="000000"/>
                <w:kern w:val="0"/>
                <w:sz w:val="20"/>
                <w:szCs w:val="20"/>
              </w:rPr>
              <w:t>8</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城管执法</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160.00</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城建城管</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C15D18" w:rsidRDefault="00927AE7">
            <w:pPr>
              <w:widowControl/>
              <w:jc w:val="center"/>
              <w:rPr>
                <w:rFonts w:ascii="仿宋_GB2312" w:eastAsia="仿宋_GB2312" w:hAnsi="Arial" w:cs="Arial"/>
                <w:color w:val="000000"/>
                <w:kern w:val="0"/>
                <w:sz w:val="24"/>
              </w:rPr>
            </w:pPr>
            <w:r>
              <w:rPr>
                <w:rFonts w:ascii="仿宋_GB2312" w:eastAsia="仿宋_GB2312" w:hAnsi="Arial" w:cs="Arial" w:hint="eastAsia"/>
                <w:color w:val="000000"/>
                <w:kern w:val="0"/>
                <w:sz w:val="24"/>
              </w:rPr>
              <w:t>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农村社会事业</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74.88</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农村基础设施建设,287座无害化厕所改造</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C15D18" w:rsidRDefault="00927AE7">
            <w:pPr>
              <w:widowControl/>
              <w:jc w:val="center"/>
              <w:rPr>
                <w:rFonts w:ascii="仿宋_GB2312" w:eastAsia="仿宋_GB2312" w:hAnsi="Arial" w:cs="Arial"/>
                <w:color w:val="000000"/>
                <w:kern w:val="0"/>
                <w:sz w:val="24"/>
              </w:rPr>
            </w:pPr>
            <w:r>
              <w:rPr>
                <w:rFonts w:ascii="仿宋_GB2312" w:eastAsia="仿宋_GB2312" w:hAnsi="Arial" w:cs="Arial" w:hint="eastAsia"/>
                <w:color w:val="000000"/>
                <w:kern w:val="0"/>
                <w:sz w:val="24"/>
              </w:rPr>
              <w:t>11</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对村民委员会和村党支部的补助</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251.46</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村级组织的正常运转</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center"/>
              <w:rPr>
                <w:rFonts w:ascii="Arial" w:hAnsi="Arial" w:cs="Arial"/>
                <w:color w:val="000000"/>
                <w:kern w:val="0"/>
                <w:sz w:val="20"/>
                <w:szCs w:val="20"/>
              </w:rPr>
            </w:pPr>
            <w:r>
              <w:rPr>
                <w:rFonts w:ascii="Arial" w:hAnsi="Arial" w:cs="Arial"/>
                <w:color w:val="000000"/>
                <w:kern w:val="0"/>
                <w:sz w:val="20"/>
                <w:szCs w:val="20"/>
              </w:rPr>
              <w:t>12</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老旧小区改造</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233.62</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5个老旧小区的改造</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r w:rsidR="00C15D18">
        <w:trPr>
          <w:trHeight w:val="480"/>
        </w:trPr>
        <w:tc>
          <w:tcPr>
            <w:tcW w:w="456" w:type="dxa"/>
            <w:tcBorders>
              <w:top w:val="single" w:sz="4" w:space="0" w:color="auto"/>
              <w:left w:val="single" w:sz="4" w:space="0" w:color="auto"/>
              <w:bottom w:val="single" w:sz="4" w:space="0" w:color="auto"/>
              <w:right w:val="single" w:sz="4" w:space="0" w:color="auto"/>
            </w:tcBorders>
            <w:shd w:val="clear" w:color="auto" w:fill="auto"/>
            <w:vAlign w:val="center"/>
          </w:tcPr>
          <w:p w:rsidR="00C15D18" w:rsidRDefault="00927AE7">
            <w:pPr>
              <w:widowControl/>
              <w:jc w:val="center"/>
              <w:rPr>
                <w:rFonts w:ascii="仿宋_GB2312" w:eastAsia="仿宋_GB2312" w:hAnsi="Arial" w:cs="Arial"/>
                <w:color w:val="000000"/>
                <w:kern w:val="0"/>
                <w:sz w:val="24"/>
              </w:rPr>
            </w:pPr>
            <w:r>
              <w:rPr>
                <w:rFonts w:ascii="仿宋_GB2312" w:eastAsia="仿宋_GB2312" w:hAnsi="Arial" w:cs="Arial" w:hint="eastAsia"/>
                <w:color w:val="000000"/>
                <w:kern w:val="0"/>
                <w:sz w:val="24"/>
              </w:rPr>
              <w:t>13</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其他保障性安居工程支出</w:t>
            </w:r>
          </w:p>
        </w:tc>
        <w:tc>
          <w:tcPr>
            <w:tcW w:w="12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right"/>
              <w:rPr>
                <w:rFonts w:ascii="宋体" w:hAnsi="宋体" w:cs="Arial"/>
                <w:kern w:val="0"/>
                <w:sz w:val="20"/>
                <w:szCs w:val="20"/>
              </w:rPr>
            </w:pPr>
            <w:r>
              <w:rPr>
                <w:rFonts w:ascii="宋体" w:hAnsi="宋体" w:cs="Arial" w:hint="eastAsia"/>
                <w:kern w:val="0"/>
                <w:sz w:val="20"/>
                <w:szCs w:val="20"/>
              </w:rPr>
              <w:t>260.14</w:t>
            </w:r>
          </w:p>
        </w:tc>
        <w:tc>
          <w:tcPr>
            <w:tcW w:w="30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5个老旧小区的改造</w:t>
            </w:r>
          </w:p>
        </w:tc>
        <w:tc>
          <w:tcPr>
            <w:tcW w:w="12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15D18" w:rsidRDefault="00927AE7">
            <w:pPr>
              <w:widowControl/>
              <w:jc w:val="left"/>
              <w:rPr>
                <w:rFonts w:ascii="宋体" w:hAnsi="宋体" w:cs="Arial"/>
                <w:color w:val="000000"/>
                <w:kern w:val="0"/>
                <w:sz w:val="20"/>
                <w:szCs w:val="20"/>
              </w:rPr>
            </w:pPr>
            <w:r>
              <w:rPr>
                <w:rFonts w:ascii="宋体" w:hAnsi="宋体" w:cs="Arial" w:hint="eastAsia"/>
                <w:color w:val="000000"/>
                <w:kern w:val="0"/>
                <w:sz w:val="20"/>
                <w:szCs w:val="20"/>
              </w:rPr>
              <w:t>已完成</w:t>
            </w:r>
          </w:p>
        </w:tc>
        <w:tc>
          <w:tcPr>
            <w:tcW w:w="615" w:type="dxa"/>
            <w:tcBorders>
              <w:top w:val="single" w:sz="4" w:space="0" w:color="auto"/>
              <w:left w:val="single" w:sz="4" w:space="0" w:color="auto"/>
              <w:bottom w:val="single" w:sz="4" w:space="0" w:color="auto"/>
              <w:right w:val="single" w:sz="4" w:space="0" w:color="auto"/>
            </w:tcBorders>
            <w:shd w:val="clear" w:color="auto" w:fill="auto"/>
          </w:tcPr>
          <w:p w:rsidR="00C15D18" w:rsidRDefault="00927AE7">
            <w:pPr>
              <w:widowControl/>
              <w:rPr>
                <w:rFonts w:ascii="仿宋_GB2312" w:eastAsia="仿宋_GB2312" w:hAnsi="Arial" w:cs="Arial"/>
                <w:color w:val="000000"/>
                <w:kern w:val="0"/>
                <w:sz w:val="24"/>
              </w:rPr>
            </w:pPr>
            <w:r>
              <w:rPr>
                <w:rFonts w:ascii="仿宋_GB2312" w:eastAsia="仿宋_GB2312" w:hAnsi="Arial" w:cs="Arial" w:hint="eastAsia"/>
                <w:color w:val="000000"/>
                <w:kern w:val="0"/>
                <w:sz w:val="24"/>
              </w:rPr>
              <w:t xml:space="preserve">　</w:t>
            </w:r>
          </w:p>
        </w:tc>
      </w:tr>
    </w:tbl>
    <w:bookmarkEnd w:id="0"/>
    <w:p w:rsidR="00C15D18" w:rsidRDefault="00927AE7">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t>三、资产管理情况</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2020年城郊街道根据《行政单位国有资产管理暂行管理办法》《城郊街道机关固定资产管理制度》等相关要求，对机关所有固定资产进行了集中清理并登记造册，建立了固定资产管理台账，每项资产张贴了标签，每个办公室安装了固定资产登记卡片，资产数量、规格型号、保管、使用责任人，资产管理清晰明了，责任明确，管理有效，并根据固定资产使用年限和资产实际使用状况向宁乡市国有资产管理部门进行了定期申报核销处置。截止</w:t>
      </w:r>
      <w:r>
        <w:rPr>
          <w:rStyle w:val="font31"/>
          <w:rFonts w:hAnsi="仿宋_GB2312" w:hint="eastAsia"/>
          <w:sz w:val="32"/>
          <w:szCs w:val="32"/>
        </w:rPr>
        <w:lastRenderedPageBreak/>
        <w:t>2020年末，固定资产总额1618.91万元，其中：土地房屋及构筑物1361.65万元；通用设备130.15万元，专用设备10.31万元；家具用具装具及动植物116.8万元。固定资产利用率100%，无空置、闲置资产。</w:t>
      </w:r>
    </w:p>
    <w:p w:rsidR="00C15D18" w:rsidRDefault="00927AE7">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t>四、部门整体支出绩效情况</w:t>
      </w:r>
    </w:p>
    <w:p w:rsidR="00C15D18" w:rsidRDefault="00927AE7">
      <w:pPr>
        <w:spacing w:line="576" w:lineRule="exact"/>
        <w:ind w:leftChars="200" w:left="640"/>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（一）经济效益</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1.财政经济稳步增长。2020年，街道财税完成1.4279亿元；社会消费品零售总额目标任务12.2亿元；“四上”企业入规目标任务19家；固定投资目标任务30亿元，全年预计完成固定投资34亿元；营利性服务业目标任务7500万，全年完成8701万元；工业总产值目标任务12.02亿元，全年预计完成13.5亿元。</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2.项目招商卓有成效。坚定不移贯彻西线工业走廊战略，通过带头招商、精准招商、以商招商和产业链招商，力促一批优质项目落户。2020年计划外新增重大社会投资项目实际完成个数9个，计划外新增重大社会投资项目入库完成投资额17.1亿元。</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3.征地拆迁清零推进。</w:t>
      </w:r>
    </w:p>
    <w:p w:rsidR="00C15D18" w:rsidRDefault="00927AE7">
      <w:pPr>
        <w:spacing w:line="576" w:lineRule="exact"/>
        <w:ind w:firstLineChars="200" w:firstLine="643"/>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（二）社会效益</w:t>
      </w:r>
    </w:p>
    <w:p w:rsidR="00C15D18" w:rsidRDefault="00927AE7">
      <w:pPr>
        <w:spacing w:line="576" w:lineRule="exact"/>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脱贫攻坚全面推进</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1.扶贫责任严格落实。2.扶贫举措扎实有力。3.扶贫工作有序推进。使全街道125户、342名贫困人口全部实现脱贫。</w:t>
      </w:r>
    </w:p>
    <w:p w:rsidR="00C15D18" w:rsidRDefault="00927AE7">
      <w:pPr>
        <w:spacing w:line="576" w:lineRule="exact"/>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社会治理全面提升</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1.化解矛盾积极有效。2.平安创建有声有色。3.安全治理常</w:t>
      </w:r>
      <w:r>
        <w:rPr>
          <w:rStyle w:val="font31"/>
          <w:rFonts w:hAnsi="仿宋_GB2312" w:hint="eastAsia"/>
          <w:sz w:val="32"/>
          <w:szCs w:val="32"/>
        </w:rPr>
        <w:lastRenderedPageBreak/>
        <w:t>抓不懈。</w:t>
      </w:r>
    </w:p>
    <w:p w:rsidR="00C15D18" w:rsidRDefault="00927AE7">
      <w:pPr>
        <w:spacing w:line="576" w:lineRule="exact"/>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疫情防控全面到位</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1.战斗堡垒坚强有力。2.宣传引导无缝覆盖。3.群防群控筑牢防线。</w:t>
      </w:r>
    </w:p>
    <w:p w:rsidR="00C15D18" w:rsidRDefault="00927AE7">
      <w:pPr>
        <w:spacing w:line="576" w:lineRule="exact"/>
        <w:ind w:leftChars="200" w:left="640"/>
        <w:rPr>
          <w:rStyle w:val="font31"/>
          <w:rFonts w:ascii="楷体_GB2312" w:eastAsia="楷体_GB2312" w:hAnsi="楷体_GB2312" w:cs="楷体_GB2312"/>
          <w:b/>
          <w:bCs/>
          <w:sz w:val="32"/>
          <w:szCs w:val="32"/>
        </w:rPr>
      </w:pPr>
      <w:r>
        <w:rPr>
          <w:rStyle w:val="font31"/>
          <w:rFonts w:ascii="楷体_GB2312" w:eastAsia="楷体_GB2312" w:hAnsi="楷体_GB2312" w:cs="楷体_GB2312" w:hint="eastAsia"/>
          <w:b/>
          <w:bCs/>
          <w:sz w:val="32"/>
          <w:szCs w:val="32"/>
        </w:rPr>
        <w:t>（三）生态效益</w:t>
      </w:r>
    </w:p>
    <w:p w:rsidR="00C15D18" w:rsidRDefault="00927AE7">
      <w:pPr>
        <w:spacing w:line="576" w:lineRule="exact"/>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人民生活全面改善</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1.人居环境大力提升。督促各村社区、小区做好垃圾分类工作，提高各村社区、小区居民垃圾分类减量投放率。对石头坑村、茶亭寺建档立卡贫困户、低保户、分散供养五保户、残疾户等四类人员户厕进行上门摸底，严格落实改厕办要求的四类人员无害化厕所改造，2019年石头坑村、茶亭寺村已改建三格化粪池137座，2020年已改建三格化粪池150座，合计287座，全部验收完毕。</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2.除臭剿劣成效初显。对辖区排口进行不间断巡查监测，定期对排口周围进行白色垃圾清理及清淤除杂，确保每月的水质检测达标；街道级河长巡河完成率100%，对沩水河道内围挡种菜进行全面清理，违章搭建的棚屋进行全面拆除，清整、覆绿面积约80亩。</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3.民生保障不断加强。搭建就业桥梁，组织培训帮促创业。城乡居民医保、社保扩面安民，社会保险服务优质。完成城乡居民医疗保险购买4840000元，城乡居民养老保险完成4882人，稽核工作继续推进，完成全年任务42%共22820元暂居全市第一，</w:t>
      </w:r>
      <w:r>
        <w:rPr>
          <w:rStyle w:val="font31"/>
          <w:rFonts w:hAnsi="仿宋_GB2312" w:hint="eastAsia"/>
          <w:sz w:val="32"/>
          <w:szCs w:val="32"/>
        </w:rPr>
        <w:lastRenderedPageBreak/>
        <w:t>城乡居民养老保险新增参保18人、社保卡核实信息548人，处理问题医保440条，医保核减人员数1259条，新生儿医保43条，五类人员异动56条，处理医保退费18人，退费金额共计4600元。对街道范围内397户四类人员及133户重病户进行深入走访调查，对229户低保户进行年审。开展第三十次全国助残日活动，慰问109人残疾人，为10名残疾人申报居家托养、为1名残疾人申报办理个体工商户基本养老保险缴费补贴、办理残疾证28本、为5名残疾人申报办理残疾人租房补贴。民政低保救助累计1013400元，特困救助累计发放345000元。临时救助200000元。大病救助申请救助资金77725元，精神病住院救助11人，精神病药物救助3人。发放事实无人抚养儿童补贴发放2人，共计发放21600元，高龄补贴发放824800元。发放残疾人两项补贴61400元。计生服务优质高效。购买计生保险51400元，发放护理补贴11000元，奖扶年审253人，新增农村奖扶74人，发放74本光荣证。独生子女保健费新增一户，退出101户。处理全员人口各类信息1200来条，平台出生核查100多个。</w:t>
      </w:r>
    </w:p>
    <w:p w:rsidR="00C15D18" w:rsidRDefault="00927AE7">
      <w:pPr>
        <w:spacing w:line="576" w:lineRule="exact"/>
        <w:ind w:firstLineChars="200" w:firstLine="562"/>
        <w:rPr>
          <w:rFonts w:ascii="仿宋_GB2312" w:eastAsia="仿宋_GB2312" w:hAnsi="仿宋_GB2312"/>
          <w:b/>
          <w:bCs/>
          <w:sz w:val="28"/>
          <w:szCs w:val="28"/>
        </w:rPr>
      </w:pPr>
      <w:r>
        <w:rPr>
          <w:rFonts w:ascii="仿宋_GB2312" w:eastAsia="仿宋_GB2312" w:hAnsi="仿宋_GB2312" w:hint="eastAsia"/>
          <w:b/>
          <w:bCs/>
          <w:sz w:val="28"/>
          <w:szCs w:val="28"/>
        </w:rPr>
        <w:t>党的建设全面加强</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1.基层党建扎实推进。2.从严治党深入开展。3.文明创建圆满完成。</w:t>
      </w:r>
    </w:p>
    <w:p w:rsidR="00C15D18" w:rsidRDefault="00927AE7">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t>五、存在的主要问题</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一是预算准确率方面有待进一步增加，年初预算与决算方面存在较大偏差，特别是具体到各功能科目的预算方面，年初预算</w:t>
      </w:r>
      <w:r>
        <w:rPr>
          <w:rStyle w:val="font31"/>
          <w:rFonts w:hAnsi="仿宋_GB2312" w:hint="eastAsia"/>
          <w:sz w:val="32"/>
          <w:szCs w:val="32"/>
        </w:rPr>
        <w:lastRenderedPageBreak/>
        <w:t>与决算偏差更为突出。二是差额人员比较多，预算经费不足，财政运转压力大。</w:t>
      </w:r>
    </w:p>
    <w:p w:rsidR="00C15D18" w:rsidRDefault="00927AE7">
      <w:pPr>
        <w:spacing w:line="576" w:lineRule="exact"/>
        <w:ind w:firstLineChars="200" w:firstLine="640"/>
        <w:rPr>
          <w:rStyle w:val="font31"/>
          <w:rFonts w:ascii="黑体" w:eastAsia="黑体" w:hAnsi="黑体" w:cs="黑体"/>
          <w:sz w:val="32"/>
          <w:szCs w:val="32"/>
        </w:rPr>
      </w:pPr>
      <w:r>
        <w:rPr>
          <w:rStyle w:val="font31"/>
          <w:rFonts w:ascii="黑体" w:eastAsia="黑体" w:hAnsi="黑体" w:cs="黑体" w:hint="eastAsia"/>
          <w:sz w:val="32"/>
          <w:szCs w:val="32"/>
        </w:rPr>
        <w:t>六、改进措施和有关建议</w:t>
      </w:r>
    </w:p>
    <w:p w:rsidR="00C15D18" w:rsidRDefault="00927AE7">
      <w:pPr>
        <w:spacing w:line="576" w:lineRule="exact"/>
        <w:ind w:firstLineChars="200" w:firstLine="640"/>
        <w:rPr>
          <w:rStyle w:val="font31"/>
          <w:rFonts w:hAnsi="仿宋_GB2312"/>
          <w:sz w:val="32"/>
          <w:szCs w:val="32"/>
        </w:rPr>
      </w:pPr>
      <w:r>
        <w:rPr>
          <w:rStyle w:val="font31"/>
          <w:rFonts w:hAnsi="仿宋_GB2312" w:hint="eastAsia"/>
          <w:sz w:val="32"/>
          <w:szCs w:val="32"/>
        </w:rPr>
        <w:t>一是预算编制在零基预算方面进一步下功夫，轻以前数据的研判，重年初数据的调研论证，广泛听取征求相关意见，充分了解掌握熟悉相关情况，预判分析发展趋势，力求年初预算更加精准。二是加强《预算法》《新政府会计制度》《政府采购法》等知识的学习培训，规范部门预算收支核算，严格按项目和进度执行预算，增强预算约束力和严肃性。三是落实预算执行分析，加强对项目开展情况进行跟踪监督，及时发现掌握预算执行偏差原因，按法定程序实事求是的合理调整，切实提高部门预算收支管理水平。</w:t>
      </w:r>
    </w:p>
    <w:sectPr w:rsidR="00C15D18" w:rsidSect="00C15D18">
      <w:pgSz w:w="11906" w:h="16838"/>
      <w:pgMar w:top="2098" w:right="1474" w:bottom="1984" w:left="158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DAAC261"/>
    <w:multiLevelType w:val="singleLevel"/>
    <w:tmpl w:val="DDAAC261"/>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210564AC"/>
    <w:rsid w:val="000F3338"/>
    <w:rsid w:val="00580912"/>
    <w:rsid w:val="006B16FF"/>
    <w:rsid w:val="0079352D"/>
    <w:rsid w:val="00927AE7"/>
    <w:rsid w:val="00953797"/>
    <w:rsid w:val="00C15D18"/>
    <w:rsid w:val="1BBE306E"/>
    <w:rsid w:val="210564AC"/>
    <w:rsid w:val="4CD64A37"/>
    <w:rsid w:val="5F5D47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15D18"/>
    <w:pPr>
      <w:widowControl w:val="0"/>
      <w:jc w:val="both"/>
    </w:pPr>
    <w:rPr>
      <w:rFonts w:ascii="Calibri" w:hAnsi="Calibri" w:cs="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C15D18"/>
    <w:pPr>
      <w:spacing w:before="100" w:beforeAutospacing="1" w:after="100" w:afterAutospacing="1"/>
      <w:jc w:val="left"/>
    </w:pPr>
    <w:rPr>
      <w:kern w:val="0"/>
      <w:sz w:val="24"/>
      <w:szCs w:val="21"/>
    </w:rPr>
  </w:style>
  <w:style w:type="character" w:customStyle="1" w:styleId="font51">
    <w:name w:val="font51"/>
    <w:basedOn w:val="a0"/>
    <w:qFormat/>
    <w:rsid w:val="00C15D18"/>
    <w:rPr>
      <w:rFonts w:ascii="方正小标宋简体" w:eastAsia="方正小标宋简体" w:hAnsi="方正小标宋简体" w:cs="方正小标宋简体" w:hint="default"/>
      <w:b/>
      <w:color w:val="000000"/>
      <w:sz w:val="44"/>
      <w:szCs w:val="44"/>
      <w:u w:val="none"/>
    </w:rPr>
  </w:style>
  <w:style w:type="character" w:customStyle="1" w:styleId="font31">
    <w:name w:val="font31"/>
    <w:basedOn w:val="a0"/>
    <w:qFormat/>
    <w:rsid w:val="00C15D18"/>
    <w:rPr>
      <w:rFonts w:ascii="仿宋_GB2312" w:eastAsia="仿宋_GB2312" w:cs="仿宋_GB2312"/>
      <w:color w:val="000000"/>
      <w:sz w:val="28"/>
      <w:szCs w:val="28"/>
      <w:u w:val="none"/>
    </w:rPr>
  </w:style>
  <w:style w:type="paragraph" w:styleId="a4">
    <w:name w:val="List Paragraph"/>
    <w:basedOn w:val="a"/>
    <w:uiPriority w:val="99"/>
    <w:unhideWhenUsed/>
    <w:qFormat/>
    <w:rsid w:val="00C15D18"/>
    <w:pPr>
      <w:ind w:firstLineChars="200" w:firstLine="420"/>
    </w:pPr>
  </w:style>
  <w:style w:type="character" w:customStyle="1" w:styleId="font41">
    <w:name w:val="font41"/>
    <w:basedOn w:val="a0"/>
    <w:qFormat/>
    <w:rsid w:val="00C15D18"/>
    <w:rPr>
      <w:rFonts w:ascii="Times New Roman" w:hAnsi="Times New Roman" w:cs="Times New Roman" w:hint="default"/>
      <w:color w:val="000000"/>
      <w:sz w:val="28"/>
      <w:szCs w:val="28"/>
      <w:u w:val="none"/>
    </w:rPr>
  </w:style>
  <w:style w:type="paragraph" w:customStyle="1" w:styleId="NormalIndent">
    <w:name w:val="NormalIndent"/>
    <w:basedOn w:val="a"/>
    <w:qFormat/>
    <w:rsid w:val="00C15D18"/>
    <w:pPr>
      <w:ind w:firstLine="420"/>
      <w:textAlignment w:val="baseline"/>
    </w:pPr>
    <w:rPr>
      <w:szCs w:val="21"/>
    </w:rPr>
  </w:style>
</w:styles>
</file>

<file path=word/webSettings.xml><?xml version="1.0" encoding="utf-8"?>
<w:webSettings xmlns:r="http://schemas.openxmlformats.org/officeDocument/2006/relationships" xmlns:w="http://schemas.openxmlformats.org/wordprocessingml/2006/main">
  <w:divs>
    <w:div w:id="4918008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12</Pages>
  <Words>1204</Words>
  <Characters>6866</Characters>
  <Application>Microsoft Office Word</Application>
  <DocSecurity>0</DocSecurity>
  <Lines>57</Lines>
  <Paragraphs>16</Paragraphs>
  <ScaleCrop>false</ScaleCrop>
  <Company/>
  <LinksUpToDate>false</LinksUpToDate>
  <CharactersWithSpaces>8054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cp:lastPrinted>2021-03-31T04:43:00Z</cp:lastPrinted>
  <dcterms:created xsi:type="dcterms:W3CDTF">2021-03-31T02:39:00Z</dcterms:created>
  <dcterms:modified xsi:type="dcterms:W3CDTF">2021-03-31T04:46:00Z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