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1312D5">
      <w:pPr>
        <w:keepNext w:val="0"/>
        <w:keepLines w:val="0"/>
        <w:pageBreakBefore w:val="0"/>
        <w:widowControl w:val="0"/>
        <w:kinsoku/>
        <w:overflowPunct/>
        <w:topLinePunct w:val="0"/>
        <w:autoSpaceDE/>
        <w:autoSpaceDN/>
        <w:bidi w:val="0"/>
        <w:adjustRightInd/>
        <w:spacing w:line="600" w:lineRule="exact"/>
        <w:jc w:val="both"/>
        <w:textAlignment w:val="auto"/>
        <w:rPr>
          <w:rFonts w:hint="eastAsia" w:ascii="Times New Roman" w:hAnsi="Times New Roman" w:eastAsia="方正小标宋简体" w:cs="Times New Roman"/>
          <w:spacing w:val="-11"/>
          <w:sz w:val="44"/>
          <w:szCs w:val="44"/>
          <w:lang w:val="en-US" w:eastAsia="zh-CN"/>
        </w:rPr>
      </w:pPr>
      <w:r>
        <w:rPr>
          <w:rFonts w:ascii="Times New Roman" w:hAnsi="Times New Roman" w:eastAsia="黑体"/>
          <w:sz w:val="34"/>
          <w:szCs w:val="34"/>
        </w:rPr>
        <w:t>附件</w:t>
      </w:r>
      <w:r>
        <w:rPr>
          <w:rFonts w:hint="eastAsia" w:ascii="Times New Roman" w:hAnsi="Times New Roman" w:eastAsia="黑体"/>
          <w:sz w:val="34"/>
          <w:szCs w:val="34"/>
          <w:lang w:val="en-US" w:eastAsia="zh-CN"/>
        </w:rPr>
        <w:t xml:space="preserve">   </w:t>
      </w:r>
      <w:r>
        <w:rPr>
          <w:rFonts w:hint="eastAsia" w:ascii="Times New Roman" w:hAnsi="Times New Roman" w:eastAsia="方正小标宋简体" w:cs="Times New Roman"/>
          <w:spacing w:val="-11"/>
          <w:sz w:val="44"/>
          <w:szCs w:val="44"/>
          <w:lang w:val="en-US" w:eastAsia="zh-CN"/>
        </w:rPr>
        <w:t xml:space="preserve"> </w:t>
      </w:r>
    </w:p>
    <w:p w14:paraId="232A77C9">
      <w:pPr>
        <w:keepNext w:val="0"/>
        <w:keepLines w:val="0"/>
        <w:pageBreakBefore w:val="0"/>
        <w:widowControl w:val="0"/>
        <w:kinsoku/>
        <w:overflowPunct/>
        <w:topLinePunct w:val="0"/>
        <w:autoSpaceDE/>
        <w:autoSpaceDN/>
        <w:bidi w:val="0"/>
        <w:adjustRightInd/>
        <w:spacing w:line="600" w:lineRule="exact"/>
        <w:jc w:val="both"/>
        <w:textAlignment w:val="auto"/>
        <w:rPr>
          <w:rFonts w:hint="eastAsia" w:ascii="Times New Roman" w:hAnsi="Times New Roman" w:eastAsia="方正小标宋简体" w:cs="Times New Roman"/>
          <w:spacing w:val="-11"/>
          <w:sz w:val="44"/>
          <w:szCs w:val="44"/>
          <w:lang w:val="en-US" w:eastAsia="zh-CN"/>
        </w:rPr>
      </w:pPr>
      <w:r>
        <w:rPr>
          <w:rFonts w:hint="eastAsia" w:ascii="Times New Roman" w:hAnsi="Times New Roman" w:eastAsia="方正小标宋简体" w:cs="Times New Roman"/>
          <w:spacing w:val="-11"/>
          <w:sz w:val="44"/>
          <w:szCs w:val="44"/>
          <w:lang w:val="en-US" w:eastAsia="zh-CN"/>
        </w:rPr>
        <w:t xml:space="preserve">      </w:t>
      </w:r>
    </w:p>
    <w:p w14:paraId="26E6EC28">
      <w:pPr>
        <w:keepNext w:val="0"/>
        <w:keepLines w:val="0"/>
        <w:pageBreakBefore w:val="0"/>
        <w:widowControl w:val="0"/>
        <w:kinsoku/>
        <w:overflowPunct/>
        <w:topLinePunct w:val="0"/>
        <w:autoSpaceDE/>
        <w:autoSpaceDN/>
        <w:bidi w:val="0"/>
        <w:adjustRightInd/>
        <w:spacing w:line="480" w:lineRule="exact"/>
        <w:jc w:val="center"/>
        <w:textAlignment w:val="auto"/>
        <w:rPr>
          <w:rFonts w:hint="eastAsia" w:ascii="Times New Roman" w:hAnsi="Times New Roman" w:eastAsia="方正小标宋简体" w:cs="Times New Roman"/>
          <w:spacing w:val="-11"/>
          <w:sz w:val="44"/>
          <w:szCs w:val="44"/>
          <w:lang w:val="en-US" w:eastAsia="zh-CN"/>
        </w:rPr>
      </w:pPr>
      <w:r>
        <w:rPr>
          <w:rFonts w:hint="eastAsia" w:ascii="Times New Roman" w:hAnsi="Times New Roman" w:eastAsia="方正小标宋简体" w:cs="Times New Roman"/>
          <w:spacing w:val="-11"/>
          <w:sz w:val="44"/>
          <w:szCs w:val="44"/>
          <w:lang w:val="en-US" w:eastAsia="zh-CN"/>
        </w:rPr>
        <w:t>宁乡市人民政府</w:t>
      </w:r>
    </w:p>
    <w:p w14:paraId="74D155FD">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hint="eastAsia" w:ascii="Times New Roman" w:hAnsi="Times New Roman" w:eastAsia="方正小标宋简体" w:cs="Times New Roman"/>
          <w:spacing w:val="-11"/>
          <w:sz w:val="44"/>
          <w:szCs w:val="44"/>
        </w:rPr>
      </w:pPr>
      <w:bookmarkStart w:id="0" w:name="_GoBack"/>
      <w:r>
        <w:rPr>
          <w:rFonts w:hint="eastAsia" w:ascii="Times New Roman" w:hAnsi="Times New Roman" w:eastAsia="方正小标宋简体" w:cs="Times New Roman"/>
          <w:spacing w:val="-11"/>
          <w:sz w:val="44"/>
          <w:szCs w:val="44"/>
        </w:rPr>
        <w:t>关于</w:t>
      </w:r>
      <w:r>
        <w:rPr>
          <w:rFonts w:hint="eastAsia" w:ascii="Times New Roman" w:hAnsi="Times New Roman" w:eastAsia="方正小标宋简体" w:cs="Times New Roman"/>
          <w:spacing w:val="-11"/>
          <w:sz w:val="44"/>
          <w:szCs w:val="44"/>
          <w:lang w:val="en-US" w:eastAsia="zh-CN"/>
        </w:rPr>
        <w:t>禁止猎捕</w:t>
      </w:r>
      <w:r>
        <w:rPr>
          <w:rFonts w:hint="eastAsia" w:ascii="Times New Roman" w:hAnsi="Times New Roman" w:eastAsia="方正小标宋简体" w:cs="Times New Roman"/>
          <w:spacing w:val="-11"/>
          <w:sz w:val="44"/>
          <w:szCs w:val="44"/>
        </w:rPr>
        <w:t>陆生野生动物的通告</w:t>
      </w:r>
    </w:p>
    <w:bookmarkEnd w:id="0"/>
    <w:p w14:paraId="75EA2019">
      <w:pPr>
        <w:keepNext w:val="0"/>
        <w:keepLines w:val="0"/>
        <w:pageBreakBefore w:val="0"/>
        <w:widowControl w:val="0"/>
        <w:kinsoku/>
        <w:wordWrap/>
        <w:overflowPunct/>
        <w:topLinePunct w:val="0"/>
        <w:autoSpaceDE/>
        <w:autoSpaceDN/>
        <w:bidi w:val="0"/>
        <w:adjustRightInd/>
        <w:snapToGrid w:val="0"/>
        <w:spacing w:line="480" w:lineRule="exact"/>
        <w:jc w:val="center"/>
        <w:textAlignment w:val="auto"/>
        <w:rPr>
          <w:rFonts w:ascii="Times New Roman" w:hAnsi="Times New Roman" w:eastAsia="楷体_GB2312"/>
          <w:b/>
          <w:sz w:val="34"/>
          <w:szCs w:val="34"/>
        </w:rPr>
      </w:pPr>
      <w:r>
        <w:rPr>
          <w:rFonts w:ascii="Times New Roman" w:hAnsi="Times New Roman" w:eastAsia="楷体_GB2312"/>
          <w:b/>
          <w:sz w:val="34"/>
          <w:szCs w:val="34"/>
        </w:rPr>
        <w:t>（</w:t>
      </w:r>
      <w:r>
        <w:rPr>
          <w:rFonts w:hint="eastAsia" w:ascii="Times New Roman" w:hAnsi="Times New Roman" w:eastAsia="楷体_GB2312"/>
          <w:b/>
          <w:sz w:val="34"/>
          <w:szCs w:val="34"/>
        </w:rPr>
        <w:t>征求意见稿</w:t>
      </w:r>
      <w:r>
        <w:rPr>
          <w:rFonts w:ascii="Times New Roman" w:hAnsi="Times New Roman" w:eastAsia="楷体_GB2312"/>
          <w:b/>
          <w:sz w:val="34"/>
          <w:szCs w:val="34"/>
        </w:rPr>
        <w:t>）</w:t>
      </w:r>
    </w:p>
    <w:p w14:paraId="03B953BD">
      <w:pPr>
        <w:keepNext w:val="0"/>
        <w:keepLines w:val="0"/>
        <w:pageBreakBefore w:val="0"/>
        <w:widowControl w:val="0"/>
        <w:kinsoku/>
        <w:wordWrap/>
        <w:overflowPunct/>
        <w:topLinePunct w:val="0"/>
        <w:autoSpaceDE/>
        <w:autoSpaceDN/>
        <w:bidi w:val="0"/>
        <w:adjustRightInd/>
        <w:snapToGrid w:val="0"/>
        <w:spacing w:line="480" w:lineRule="exact"/>
        <w:textAlignment w:val="auto"/>
        <w:rPr>
          <w:rFonts w:ascii="Times New Roman" w:hAnsi="Times New Roman" w:eastAsia="仿宋_GB2312"/>
          <w:sz w:val="34"/>
          <w:szCs w:val="34"/>
        </w:rPr>
      </w:pPr>
    </w:p>
    <w:p w14:paraId="27CE5E13">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为保护陆生野生动物资源，维持生物多样性，维护生态平衡，依据《中华人民共和国野生动物保护法》《中华人民共和国陆生野生动物保护实施条例》《湖南省野生动植物资源保护条例》等有关法律法规，结合我市实际，现就禁止猎捕陆生野生动物有关事项通告如下:</w:t>
      </w:r>
    </w:p>
    <w:p w14:paraId="24AB5EA7">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一、陆生野生动物</w:t>
      </w:r>
      <w:r>
        <w:rPr>
          <w:rFonts w:hint="eastAsia" w:ascii="仿宋_GB2312" w:hAnsi="仿宋_GB2312" w:eastAsia="仿宋_GB2312" w:cs="仿宋_GB2312"/>
          <w:snapToGrid w:val="0"/>
          <w:color w:val="auto"/>
          <w:kern w:val="0"/>
          <w:sz w:val="32"/>
          <w:szCs w:val="32"/>
          <w:lang w:val="en"/>
        </w:rPr>
        <w:t>（</w:t>
      </w:r>
      <w:r>
        <w:rPr>
          <w:rFonts w:hint="eastAsia" w:ascii="仿宋_GB2312" w:hAnsi="仿宋_GB2312" w:eastAsia="仿宋_GB2312" w:cs="仿宋_GB2312"/>
          <w:snapToGrid w:val="0"/>
          <w:color w:val="auto"/>
          <w:kern w:val="0"/>
          <w:sz w:val="32"/>
          <w:szCs w:val="32"/>
        </w:rPr>
        <w:t>指国家重点保护、湖南省重点保护的陆生野生动物以及国家、湖南省保护的有重要生态、科学、社会价值的陆生野生动物</w:t>
      </w:r>
      <w:r>
        <w:rPr>
          <w:rFonts w:hint="eastAsia" w:ascii="仿宋_GB2312" w:hAnsi="仿宋_GB2312" w:eastAsia="仿宋_GB2312" w:cs="仿宋_GB2312"/>
          <w:snapToGrid w:val="0"/>
          <w:color w:val="auto"/>
          <w:kern w:val="0"/>
          <w:sz w:val="32"/>
          <w:szCs w:val="32"/>
          <w:lang w:val="en"/>
        </w:rPr>
        <w:t>）</w:t>
      </w:r>
      <w:r>
        <w:rPr>
          <w:rFonts w:hint="eastAsia" w:ascii="仿宋_GB2312" w:hAnsi="仿宋_GB2312" w:eastAsia="仿宋_GB2312" w:cs="仿宋_GB2312"/>
          <w:snapToGrid w:val="0"/>
          <w:kern w:val="0"/>
          <w:sz w:val="32"/>
          <w:szCs w:val="32"/>
        </w:rPr>
        <w:t>资源受法律保护，禁止任何单位和个人非法猎捕、侵占和破坏。</w:t>
      </w:r>
    </w:p>
    <w:p w14:paraId="59017922">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二、禁止使用军用武器、体育运动枪支、火药枪、气枪、排铳、地枪、射钉枪</w:t>
      </w:r>
      <w:r>
        <w:rPr>
          <w:rFonts w:hint="eastAsia" w:ascii="仿宋_GB2312" w:hAnsi="仿宋_GB2312" w:eastAsia="仿宋_GB2312" w:cs="仿宋_GB2312"/>
          <w:snapToGrid w:val="0"/>
          <w:color w:val="auto"/>
          <w:kern w:val="0"/>
          <w:sz w:val="32"/>
          <w:szCs w:val="32"/>
        </w:rPr>
        <w:t>、</w:t>
      </w:r>
      <w:r>
        <w:rPr>
          <w:rFonts w:hint="eastAsia" w:ascii="仿宋_GB2312" w:hAnsi="仿宋_GB2312" w:eastAsia="仿宋_GB2312" w:cs="仿宋_GB2312"/>
          <w:snapToGrid w:val="0"/>
          <w:color w:val="auto"/>
          <w:kern w:val="0"/>
          <w:sz w:val="32"/>
          <w:szCs w:val="32"/>
          <w:highlight w:val="none"/>
        </w:rPr>
        <w:t>弓弩、弹弓、猎套、粘网、猎夹、捕鸟器、毒药、麻醉药、爆炸物、捕蛇夹、电击装置、电子诱捕装置、铁夹、张网、标枪</w:t>
      </w:r>
      <w:r>
        <w:rPr>
          <w:rFonts w:hint="eastAsia" w:ascii="仿宋_GB2312" w:hAnsi="仿宋_GB2312" w:eastAsia="仿宋_GB2312" w:cs="仿宋_GB2312"/>
          <w:snapToGrid w:val="0"/>
          <w:color w:val="auto"/>
          <w:kern w:val="0"/>
          <w:sz w:val="32"/>
          <w:szCs w:val="32"/>
          <w:highlight w:val="none"/>
          <w:lang w:val="en"/>
        </w:rPr>
        <w:t>（</w:t>
      </w:r>
      <w:r>
        <w:rPr>
          <w:rFonts w:hint="eastAsia" w:ascii="仿宋_GB2312" w:hAnsi="仿宋_GB2312" w:eastAsia="仿宋_GB2312" w:cs="仿宋_GB2312"/>
          <w:snapToGrid w:val="0"/>
          <w:color w:val="auto"/>
          <w:kern w:val="0"/>
          <w:sz w:val="32"/>
          <w:szCs w:val="32"/>
          <w:highlight w:val="none"/>
        </w:rPr>
        <w:t>包括无人机等飞行器辅助投射标枪</w:t>
      </w:r>
      <w:r>
        <w:rPr>
          <w:rFonts w:hint="eastAsia" w:ascii="仿宋_GB2312" w:hAnsi="仿宋_GB2312" w:eastAsia="仿宋_GB2312" w:cs="仿宋_GB2312"/>
          <w:snapToGrid w:val="0"/>
          <w:color w:val="auto"/>
          <w:kern w:val="0"/>
          <w:sz w:val="32"/>
          <w:szCs w:val="32"/>
          <w:highlight w:val="none"/>
          <w:lang w:eastAsia="zh-CN"/>
        </w:rPr>
        <w:t>、网具</w:t>
      </w:r>
      <w:r>
        <w:rPr>
          <w:rFonts w:hint="eastAsia" w:ascii="仿宋_GB2312" w:hAnsi="仿宋_GB2312" w:eastAsia="仿宋_GB2312" w:cs="仿宋_GB2312"/>
          <w:snapToGrid w:val="0"/>
          <w:color w:val="auto"/>
          <w:kern w:val="0"/>
          <w:sz w:val="32"/>
          <w:szCs w:val="32"/>
          <w:highlight w:val="none"/>
        </w:rPr>
        <w:t>或箭支装具</w:t>
      </w:r>
      <w:r>
        <w:rPr>
          <w:rFonts w:hint="eastAsia" w:ascii="仿宋_GB2312" w:hAnsi="仿宋_GB2312" w:eastAsia="仿宋_GB2312" w:cs="仿宋_GB2312"/>
          <w:snapToGrid w:val="0"/>
          <w:color w:val="auto"/>
          <w:kern w:val="0"/>
          <w:sz w:val="32"/>
          <w:szCs w:val="32"/>
          <w:highlight w:val="none"/>
          <w:lang w:val="en"/>
        </w:rPr>
        <w:t>）</w:t>
      </w:r>
      <w:r>
        <w:rPr>
          <w:rFonts w:hint="eastAsia" w:ascii="仿宋_GB2312" w:hAnsi="仿宋_GB2312" w:eastAsia="仿宋_GB2312" w:cs="仿宋_GB2312"/>
          <w:snapToGrid w:val="0"/>
          <w:color w:val="auto"/>
          <w:kern w:val="0"/>
          <w:sz w:val="32"/>
          <w:szCs w:val="32"/>
          <w:highlight w:val="none"/>
        </w:rPr>
        <w:t>等</w:t>
      </w:r>
      <w:r>
        <w:rPr>
          <w:rFonts w:hint="eastAsia" w:ascii="仿宋_GB2312" w:hAnsi="仿宋_GB2312" w:eastAsia="仿宋_GB2312" w:cs="仿宋_GB2312"/>
          <w:snapToGrid w:val="0"/>
          <w:color w:val="auto"/>
          <w:kern w:val="0"/>
          <w:sz w:val="32"/>
          <w:szCs w:val="32"/>
          <w:highlight w:val="none"/>
          <w:lang w:val="en-US" w:eastAsia="zh-CN"/>
        </w:rPr>
        <w:t>各种</w:t>
      </w:r>
      <w:r>
        <w:rPr>
          <w:rFonts w:hint="eastAsia" w:ascii="仿宋_GB2312" w:hAnsi="仿宋_GB2312" w:eastAsia="仿宋_GB2312" w:cs="仿宋_GB2312"/>
          <w:snapToGrid w:val="0"/>
          <w:color w:val="auto"/>
          <w:kern w:val="0"/>
          <w:sz w:val="32"/>
          <w:szCs w:val="32"/>
          <w:highlight w:val="none"/>
        </w:rPr>
        <w:t>危害人畜安</w:t>
      </w:r>
      <w:r>
        <w:rPr>
          <w:rFonts w:hint="eastAsia" w:ascii="仿宋_GB2312" w:hAnsi="仿宋_GB2312" w:eastAsia="仿宋_GB2312" w:cs="仿宋_GB2312"/>
          <w:snapToGrid w:val="0"/>
          <w:kern w:val="0"/>
          <w:sz w:val="32"/>
          <w:szCs w:val="32"/>
        </w:rPr>
        <w:t>全的工具或装置猎捕陆生野生动物</w:t>
      </w:r>
      <w:r>
        <w:rPr>
          <w:rFonts w:hint="eastAsia" w:ascii="仿宋_GB2312" w:hAnsi="仿宋_GB2312" w:eastAsia="仿宋_GB2312" w:cs="仿宋_GB2312"/>
          <w:snapToGrid w:val="0"/>
          <w:kern w:val="0"/>
          <w:sz w:val="32"/>
          <w:szCs w:val="32"/>
          <w:lang w:eastAsia="zh-CN"/>
        </w:rPr>
        <w:t>；</w:t>
      </w:r>
      <w:r>
        <w:rPr>
          <w:rFonts w:hint="eastAsia" w:ascii="仿宋_GB2312" w:hAnsi="仿宋_GB2312" w:eastAsia="仿宋_GB2312" w:cs="仿宋_GB2312"/>
          <w:snapToGrid w:val="0"/>
          <w:kern w:val="0"/>
          <w:sz w:val="32"/>
          <w:szCs w:val="32"/>
        </w:rPr>
        <w:t>禁止使用夜间照明行猎、歼灭性围猎、投毒、麻醉、电击、电子诱捕、食物诱捕、活体动物诱捕、动物标本诱捕、利用野生动物生理习性诱捕、捣巢毁穴、火攻、烟熏、</w:t>
      </w:r>
      <w:r>
        <w:rPr>
          <w:rFonts w:hint="eastAsia" w:ascii="仿宋_GB2312" w:hAnsi="仿宋_GB2312" w:eastAsia="仿宋_GB2312" w:cs="仿宋_GB2312"/>
          <w:snapToGrid w:val="0"/>
          <w:kern w:val="0"/>
          <w:sz w:val="32"/>
          <w:szCs w:val="32"/>
          <w:highlight w:val="none"/>
        </w:rPr>
        <w:t>网捕、</w:t>
      </w:r>
      <w:r>
        <w:rPr>
          <w:rFonts w:hint="eastAsia" w:ascii="仿宋_GB2312" w:hAnsi="仿宋_GB2312" w:eastAsia="仿宋_GB2312" w:cs="仿宋_GB2312"/>
          <w:snapToGrid w:val="0"/>
          <w:kern w:val="0"/>
          <w:sz w:val="32"/>
          <w:szCs w:val="32"/>
        </w:rPr>
        <w:t>挖洞、陷阱、犬捕、捡蛋等</w:t>
      </w:r>
      <w:r>
        <w:rPr>
          <w:rFonts w:hint="eastAsia" w:ascii="仿宋_GB2312" w:hAnsi="仿宋_GB2312" w:eastAsia="仿宋_GB2312" w:cs="仿宋_GB2312"/>
          <w:snapToGrid w:val="0"/>
          <w:kern w:val="0"/>
          <w:sz w:val="32"/>
          <w:szCs w:val="32"/>
          <w:lang w:val="en-US" w:eastAsia="zh-CN"/>
        </w:rPr>
        <w:t>各种</w:t>
      </w:r>
      <w:r>
        <w:rPr>
          <w:rFonts w:hint="eastAsia" w:ascii="仿宋_GB2312" w:hAnsi="仿宋_GB2312" w:eastAsia="仿宋_GB2312" w:cs="仿宋_GB2312"/>
          <w:snapToGrid w:val="0"/>
          <w:kern w:val="0"/>
          <w:sz w:val="32"/>
          <w:szCs w:val="32"/>
        </w:rPr>
        <w:t>方法猎捕陆生野生动物。</w:t>
      </w:r>
    </w:p>
    <w:p w14:paraId="6A8C067C">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三</w:t>
      </w:r>
      <w:r>
        <w:rPr>
          <w:rFonts w:hint="eastAsia" w:ascii="仿宋_GB2312" w:hAnsi="仿宋_GB2312" w:eastAsia="仿宋_GB2312" w:cs="仿宋_GB2312"/>
          <w:snapToGrid w:val="0"/>
          <w:kern w:val="0"/>
          <w:sz w:val="32"/>
          <w:szCs w:val="32"/>
          <w:lang w:eastAsia="zh-CN"/>
        </w:rPr>
        <w:t>、</w:t>
      </w:r>
      <w:r>
        <w:rPr>
          <w:rFonts w:hint="eastAsia" w:ascii="仿宋_GB2312" w:hAnsi="仿宋_GB2312" w:eastAsia="仿宋_GB2312" w:cs="仿宋_GB2312"/>
          <w:snapToGrid w:val="0"/>
          <w:kern w:val="0"/>
          <w:sz w:val="32"/>
          <w:szCs w:val="32"/>
        </w:rPr>
        <w:t>因科学研究、种群调控、疫源疫病监测等法定情形或为保护人民群众生命财产安全以及其他特殊情况需要猎捕陆生野生动物的，应当依法申办特许猎捕证或狩猎证，并按照特许猎捕证、狩猎证规定的种类、数量、地点、工具、方法和期限进行猎捕。</w:t>
      </w:r>
    </w:p>
    <w:p w14:paraId="72454671">
      <w:pPr>
        <w:keepNext w:val="0"/>
        <w:keepLines w:val="0"/>
        <w:pageBreakBefore w:val="0"/>
        <w:widowControl w:val="0"/>
        <w:kinsoku/>
        <w:overflowPunct/>
        <w:topLinePunct w:val="0"/>
        <w:autoSpaceDE/>
        <w:autoSpaceDN/>
        <w:bidi w:val="0"/>
        <w:adjustRightInd/>
        <w:spacing w:line="480" w:lineRule="exact"/>
        <w:ind w:firstLine="640" w:firstLineChars="200"/>
        <w:jc w:val="both"/>
        <w:textAlignment w:val="auto"/>
        <w:rPr>
          <w:rFonts w:hint="eastAsia" w:ascii="仿宋_GB2312" w:hAnsi="仿宋_GB2312" w:eastAsia="仿宋_GB2312" w:cs="仿宋_GB2312"/>
          <w:snapToGrid w:val="0"/>
          <w:color w:val="auto"/>
          <w:kern w:val="0"/>
          <w:sz w:val="32"/>
          <w:szCs w:val="32"/>
          <w:highlight w:val="none"/>
        </w:rPr>
      </w:pPr>
      <w:r>
        <w:rPr>
          <w:rFonts w:hint="eastAsia" w:ascii="仿宋_GB2312" w:hAnsi="仿宋_GB2312" w:eastAsia="仿宋_GB2312" w:cs="仿宋_GB2312"/>
          <w:sz w:val="32"/>
          <w:szCs w:val="32"/>
        </w:rPr>
        <w:t>四、禁止非法猎捕、宰杀、收购、出售、加工、食用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利用、储存、运输、携带国家和省级重点保护的陆生野生动物及其产品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highlight w:val="none"/>
        </w:rPr>
        <w:t>禁止为出售、购买、利用野生动物或者禁止使用的猎捕工具发布广告。禁止网络平台、商品交易市场、餐饮场所等，为违法出售、购买、食用及利用野生动物及其制品或者禁止使用的猎捕工具提供展示、交易、消费服务。</w:t>
      </w:r>
    </w:p>
    <w:p w14:paraId="309205EA">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napToGrid w:val="0"/>
          <w:kern w:val="0"/>
          <w:sz w:val="32"/>
          <w:szCs w:val="32"/>
        </w:rPr>
      </w:pPr>
      <w:r>
        <w:rPr>
          <w:rFonts w:hint="eastAsia" w:ascii="仿宋_GB2312" w:hAnsi="仿宋_GB2312" w:eastAsia="仿宋_GB2312" w:cs="仿宋_GB2312"/>
          <w:snapToGrid w:val="0"/>
          <w:kern w:val="0"/>
          <w:sz w:val="32"/>
          <w:szCs w:val="32"/>
        </w:rPr>
        <w:t>五、违反法律法规及本通告规定的，由</w:t>
      </w:r>
      <w:r>
        <w:rPr>
          <w:rFonts w:hint="eastAsia" w:ascii="仿宋_GB2312" w:hAnsi="仿宋_GB2312" w:eastAsia="仿宋_GB2312" w:cs="仿宋_GB2312"/>
          <w:snapToGrid w:val="0"/>
          <w:kern w:val="0"/>
          <w:sz w:val="32"/>
          <w:szCs w:val="32"/>
          <w:highlight w:val="none"/>
        </w:rPr>
        <w:t>市林业行政主管部门或相关行政主管部门依法给予行政处罚</w:t>
      </w:r>
      <w:r>
        <w:rPr>
          <w:rFonts w:hint="eastAsia" w:ascii="仿宋_GB2312" w:hAnsi="仿宋_GB2312" w:eastAsia="仿宋_GB2312" w:cs="仿宋_GB2312"/>
          <w:snapToGrid w:val="0"/>
          <w:color w:val="auto"/>
          <w:kern w:val="0"/>
          <w:sz w:val="32"/>
          <w:szCs w:val="32"/>
          <w:highlight w:val="none"/>
          <w:lang w:eastAsia="zh-CN"/>
        </w:rPr>
        <w:t>；</w:t>
      </w:r>
      <w:r>
        <w:rPr>
          <w:rFonts w:hint="eastAsia" w:ascii="仿宋_GB2312" w:hAnsi="仿宋_GB2312" w:eastAsia="仿宋_GB2312" w:cs="仿宋_GB2312"/>
          <w:snapToGrid w:val="0"/>
          <w:color w:val="auto"/>
          <w:kern w:val="0"/>
          <w:sz w:val="32"/>
          <w:szCs w:val="32"/>
          <w:highlight w:val="none"/>
        </w:rPr>
        <w:t>非法携带枪支、弹药或者弩、匕首等</w:t>
      </w:r>
      <w:r>
        <w:rPr>
          <w:rFonts w:hint="eastAsia" w:ascii="仿宋_GB2312" w:hAnsi="仿宋_GB2312" w:eastAsia="仿宋_GB2312" w:cs="仿宋_GB2312"/>
          <w:snapToGrid w:val="0"/>
          <w:color w:val="auto"/>
          <w:kern w:val="0"/>
          <w:sz w:val="32"/>
          <w:szCs w:val="32"/>
          <w:highlight w:val="none"/>
          <w:lang w:val="en-US" w:eastAsia="zh-CN"/>
        </w:rPr>
        <w:t>各种</w:t>
      </w:r>
      <w:r>
        <w:rPr>
          <w:rFonts w:hint="eastAsia" w:ascii="仿宋_GB2312" w:hAnsi="仿宋_GB2312" w:eastAsia="仿宋_GB2312" w:cs="仿宋_GB2312"/>
          <w:snapToGrid w:val="0"/>
          <w:color w:val="auto"/>
          <w:kern w:val="0"/>
          <w:sz w:val="32"/>
          <w:szCs w:val="32"/>
          <w:highlight w:val="none"/>
        </w:rPr>
        <w:t>国家规定的管制器具的，依据治安管理处罚法移送公安机关处理</w:t>
      </w:r>
      <w:r>
        <w:rPr>
          <w:rFonts w:hint="eastAsia" w:ascii="仿宋_GB2312" w:hAnsi="仿宋_GB2312" w:eastAsia="仿宋_GB2312" w:cs="仿宋_GB2312"/>
          <w:snapToGrid w:val="0"/>
          <w:color w:val="auto"/>
          <w:kern w:val="0"/>
          <w:sz w:val="32"/>
          <w:szCs w:val="32"/>
          <w:highlight w:val="none"/>
          <w:lang w:eastAsia="zh-CN"/>
        </w:rPr>
        <w:t>；</w:t>
      </w:r>
      <w:r>
        <w:rPr>
          <w:rFonts w:hint="eastAsia" w:ascii="仿宋_GB2312" w:hAnsi="仿宋_GB2312" w:eastAsia="仿宋_GB2312" w:cs="仿宋_GB2312"/>
          <w:snapToGrid w:val="0"/>
          <w:color w:val="auto"/>
          <w:kern w:val="0"/>
          <w:sz w:val="32"/>
          <w:szCs w:val="32"/>
          <w:highlight w:val="none"/>
        </w:rPr>
        <w:t>涉嫌犯罪的，依法</w:t>
      </w:r>
      <w:r>
        <w:rPr>
          <w:rFonts w:hint="eastAsia" w:ascii="仿宋_GB2312" w:hAnsi="仿宋_GB2312" w:eastAsia="仿宋_GB2312" w:cs="仿宋_GB2312"/>
          <w:snapToGrid w:val="0"/>
          <w:kern w:val="0"/>
          <w:sz w:val="32"/>
          <w:szCs w:val="32"/>
        </w:rPr>
        <w:t>移送司法机关处理。</w:t>
      </w:r>
    </w:p>
    <w:p w14:paraId="474EACF2">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napToGrid w:val="0"/>
          <w:kern w:val="0"/>
          <w:sz w:val="32"/>
          <w:szCs w:val="32"/>
          <w:lang w:val="en"/>
        </w:rPr>
      </w:pPr>
      <w:r>
        <w:rPr>
          <w:rFonts w:hint="eastAsia" w:ascii="仿宋_GB2312" w:hAnsi="仿宋_GB2312" w:eastAsia="仿宋_GB2312" w:cs="仿宋_GB2312"/>
          <w:snapToGrid w:val="0"/>
          <w:kern w:val="0"/>
          <w:sz w:val="32"/>
          <w:szCs w:val="32"/>
        </w:rPr>
        <w:t>六、公民有保护陆生野生动物的义务，对发现非法猎捕或杀害陆生野生动物、侵占或破坏陆生野生动物生息繁衍场所及生存环境的违法行为，有权检举和控告。</w:t>
      </w:r>
      <w:r>
        <w:rPr>
          <w:rFonts w:hint="eastAsia" w:ascii="仿宋_GB2312" w:hAnsi="仿宋_GB2312" w:eastAsia="仿宋_GB2312" w:cs="仿宋_GB2312"/>
          <w:snapToGrid w:val="0"/>
          <w:kern w:val="0"/>
          <w:sz w:val="32"/>
          <w:szCs w:val="32"/>
          <w:lang w:val="en"/>
        </w:rPr>
        <w:t>（</w:t>
      </w:r>
      <w:r>
        <w:rPr>
          <w:rFonts w:hint="eastAsia" w:ascii="仿宋_GB2312" w:hAnsi="仿宋_GB2312" w:eastAsia="仿宋_GB2312" w:cs="仿宋_GB2312"/>
          <w:snapToGrid w:val="0"/>
          <w:kern w:val="0"/>
          <w:sz w:val="32"/>
          <w:szCs w:val="32"/>
        </w:rPr>
        <w:t>检举和控告电话:市林业局</w:t>
      </w:r>
      <w:r>
        <w:rPr>
          <w:rFonts w:hint="eastAsia" w:ascii="仿宋_GB2312" w:hAnsi="仿宋_GB2312" w:eastAsia="仿宋_GB2312" w:cs="仿宋_GB2312"/>
          <w:snapToGrid w:val="0"/>
          <w:kern w:val="0"/>
          <w:sz w:val="32"/>
          <w:szCs w:val="32"/>
          <w:lang w:val="en-US" w:eastAsia="zh-CN"/>
        </w:rPr>
        <w:t>87875106</w:t>
      </w:r>
      <w:r>
        <w:rPr>
          <w:rFonts w:hint="eastAsia" w:ascii="仿宋_GB2312" w:hAnsi="仿宋_GB2312" w:eastAsia="仿宋_GB2312" w:cs="仿宋_GB2312"/>
          <w:snapToGrid w:val="0"/>
          <w:kern w:val="0"/>
          <w:sz w:val="32"/>
          <w:szCs w:val="32"/>
        </w:rPr>
        <w:t>，市公安局</w:t>
      </w:r>
      <w:r>
        <w:rPr>
          <w:rFonts w:hint="eastAsia" w:ascii="仿宋_GB2312" w:hAnsi="仿宋_GB2312" w:eastAsia="仿宋_GB2312" w:cs="仿宋_GB2312"/>
          <w:snapToGrid w:val="0"/>
          <w:kern w:val="0"/>
          <w:sz w:val="32"/>
          <w:szCs w:val="32"/>
          <w:lang w:val="en-US" w:eastAsia="zh-CN"/>
        </w:rPr>
        <w:t>87875110</w:t>
      </w:r>
      <w:r>
        <w:rPr>
          <w:rFonts w:hint="eastAsia" w:ascii="仿宋_GB2312" w:hAnsi="仿宋_GB2312" w:eastAsia="仿宋_GB2312" w:cs="仿宋_GB2312"/>
          <w:snapToGrid w:val="0"/>
          <w:kern w:val="0"/>
          <w:sz w:val="32"/>
          <w:szCs w:val="32"/>
          <w:lang w:val="en"/>
        </w:rPr>
        <w:t>）</w:t>
      </w:r>
    </w:p>
    <w:p w14:paraId="348D746D">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napToGrid w:val="0"/>
          <w:color w:val="auto"/>
          <w:kern w:val="0"/>
          <w:sz w:val="32"/>
          <w:szCs w:val="32"/>
          <w:highlight w:val="none"/>
          <w:lang w:eastAsia="zh-CN"/>
        </w:rPr>
      </w:pPr>
      <w:r>
        <w:rPr>
          <w:rFonts w:hint="eastAsia" w:ascii="仿宋_GB2312" w:hAnsi="仿宋_GB2312" w:eastAsia="仿宋_GB2312" w:cs="仿宋_GB2312"/>
          <w:snapToGrid w:val="0"/>
          <w:kern w:val="0"/>
          <w:sz w:val="32"/>
          <w:szCs w:val="32"/>
        </w:rPr>
        <w:t>七、</w:t>
      </w:r>
      <w:r>
        <w:rPr>
          <w:rFonts w:hint="eastAsia" w:ascii="仿宋_GB2312" w:hAnsi="仿宋_GB2312" w:eastAsia="仿宋_GB2312" w:cs="仿宋_GB2312"/>
          <w:snapToGrid w:val="0"/>
          <w:color w:val="auto"/>
          <w:kern w:val="0"/>
          <w:sz w:val="32"/>
          <w:szCs w:val="32"/>
          <w:highlight w:val="none"/>
        </w:rPr>
        <w:t>本通告自2025年</w:t>
      </w:r>
      <w:r>
        <w:rPr>
          <w:rFonts w:hint="eastAsia" w:ascii="仿宋_GB2312" w:hAnsi="仿宋_GB2312" w:eastAsia="仿宋_GB2312" w:cs="仿宋_GB2312"/>
          <w:snapToGrid w:val="0"/>
          <w:color w:val="auto"/>
          <w:kern w:val="0"/>
          <w:sz w:val="32"/>
          <w:szCs w:val="32"/>
          <w:highlight w:val="none"/>
          <w:lang w:val="en-US" w:eastAsia="zh-CN"/>
        </w:rPr>
        <w:t xml:space="preserve">  </w:t>
      </w:r>
      <w:r>
        <w:rPr>
          <w:rFonts w:hint="eastAsia" w:ascii="仿宋_GB2312" w:hAnsi="仿宋_GB2312" w:eastAsia="仿宋_GB2312" w:cs="仿宋_GB2312"/>
          <w:snapToGrid w:val="0"/>
          <w:color w:val="auto"/>
          <w:kern w:val="0"/>
          <w:sz w:val="32"/>
          <w:szCs w:val="32"/>
          <w:highlight w:val="none"/>
        </w:rPr>
        <w:t>月</w:t>
      </w:r>
      <w:r>
        <w:rPr>
          <w:rFonts w:hint="eastAsia" w:ascii="仿宋_GB2312" w:hAnsi="仿宋_GB2312" w:eastAsia="仿宋_GB2312" w:cs="仿宋_GB2312"/>
          <w:snapToGrid w:val="0"/>
          <w:color w:val="auto"/>
          <w:kern w:val="0"/>
          <w:sz w:val="32"/>
          <w:szCs w:val="32"/>
          <w:highlight w:val="none"/>
          <w:lang w:val="en-US" w:eastAsia="zh-CN"/>
        </w:rPr>
        <w:t xml:space="preserve">   </w:t>
      </w:r>
      <w:r>
        <w:rPr>
          <w:rFonts w:hint="eastAsia" w:ascii="仿宋_GB2312" w:hAnsi="仿宋_GB2312" w:eastAsia="仿宋_GB2312" w:cs="仿宋_GB2312"/>
          <w:snapToGrid w:val="0"/>
          <w:color w:val="auto"/>
          <w:kern w:val="0"/>
          <w:sz w:val="32"/>
          <w:szCs w:val="32"/>
          <w:highlight w:val="none"/>
        </w:rPr>
        <w:t>日起施行</w:t>
      </w:r>
      <w:r>
        <w:rPr>
          <w:rFonts w:hint="eastAsia" w:ascii="仿宋_GB2312" w:hAnsi="仿宋_GB2312" w:eastAsia="仿宋_GB2312" w:cs="仿宋_GB2312"/>
          <w:snapToGrid w:val="0"/>
          <w:color w:val="auto"/>
          <w:kern w:val="0"/>
          <w:sz w:val="32"/>
          <w:szCs w:val="32"/>
          <w:highlight w:val="none"/>
          <w:lang w:eastAsia="zh-CN"/>
        </w:rPr>
        <w:t>，有效期五年，同时</w:t>
      </w:r>
      <w:r>
        <w:rPr>
          <w:rFonts w:hint="eastAsia" w:ascii="仿宋_GB2312" w:hAnsi="仿宋_GB2312" w:eastAsia="仿宋_GB2312" w:cs="仿宋_GB2312"/>
          <w:snapToGrid w:val="0"/>
          <w:color w:val="auto"/>
          <w:kern w:val="0"/>
          <w:sz w:val="32"/>
          <w:szCs w:val="32"/>
          <w:highlight w:val="none"/>
          <w:lang w:val="en-US" w:eastAsia="zh-CN"/>
        </w:rPr>
        <w:t>2021年12月22日《</w:t>
      </w:r>
      <w:r>
        <w:rPr>
          <w:rFonts w:hint="eastAsia" w:ascii="仿宋_GB2312" w:hAnsi="仿宋_GB2312" w:eastAsia="仿宋_GB2312" w:cs="仿宋_GB2312"/>
          <w:snapToGrid w:val="0"/>
          <w:color w:val="auto"/>
          <w:kern w:val="0"/>
          <w:sz w:val="32"/>
          <w:szCs w:val="32"/>
          <w:highlight w:val="none"/>
          <w:lang w:eastAsia="zh-CN"/>
        </w:rPr>
        <w:t>宁乡市人民政府关于</w:t>
      </w:r>
      <w:r>
        <w:rPr>
          <w:rFonts w:hint="eastAsia" w:ascii="仿宋_GB2312" w:hAnsi="仿宋_GB2312" w:eastAsia="仿宋_GB2312" w:cs="仿宋_GB2312"/>
          <w:snapToGrid w:val="0"/>
          <w:color w:val="auto"/>
          <w:kern w:val="0"/>
          <w:sz w:val="32"/>
          <w:szCs w:val="32"/>
          <w:highlight w:val="none"/>
          <w:lang w:val="en-US" w:eastAsia="zh-CN"/>
        </w:rPr>
        <w:t>禁止猎捕</w:t>
      </w:r>
      <w:r>
        <w:rPr>
          <w:rFonts w:hint="eastAsia" w:ascii="仿宋_GB2312" w:hAnsi="仿宋_GB2312" w:eastAsia="仿宋_GB2312" w:cs="仿宋_GB2312"/>
          <w:snapToGrid w:val="0"/>
          <w:color w:val="auto"/>
          <w:kern w:val="0"/>
          <w:sz w:val="32"/>
          <w:szCs w:val="32"/>
          <w:highlight w:val="none"/>
          <w:lang w:eastAsia="zh-CN"/>
        </w:rPr>
        <w:t>陆野生动物的通告</w:t>
      </w:r>
      <w:r>
        <w:rPr>
          <w:rFonts w:hint="eastAsia" w:ascii="仿宋_GB2312" w:hAnsi="仿宋_GB2312" w:eastAsia="仿宋_GB2312" w:cs="仿宋_GB2312"/>
          <w:snapToGrid w:val="0"/>
          <w:color w:val="auto"/>
          <w:kern w:val="0"/>
          <w:sz w:val="32"/>
          <w:szCs w:val="32"/>
          <w:highlight w:val="none"/>
          <w:lang w:val="en-US" w:eastAsia="zh-CN"/>
        </w:rPr>
        <w:t>》</w:t>
      </w:r>
      <w:r>
        <w:rPr>
          <w:rFonts w:hint="eastAsia" w:ascii="仿宋_GB2312" w:hAnsi="仿宋_GB2312" w:eastAsia="仿宋_GB2312" w:cs="仿宋_GB2312"/>
          <w:snapToGrid w:val="0"/>
          <w:color w:val="auto"/>
          <w:kern w:val="0"/>
          <w:sz w:val="32"/>
          <w:szCs w:val="32"/>
          <w:highlight w:val="none"/>
          <w:lang w:eastAsia="zh-CN"/>
        </w:rPr>
        <w:t>废止。</w:t>
      </w:r>
    </w:p>
    <w:p w14:paraId="28E9500A">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napToGrid w:val="0"/>
          <w:kern w:val="0"/>
          <w:sz w:val="32"/>
          <w:szCs w:val="32"/>
        </w:rPr>
      </w:pPr>
    </w:p>
    <w:p w14:paraId="4F7E6863">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napToGrid w:val="0"/>
          <w:kern w:val="0"/>
          <w:sz w:val="32"/>
          <w:szCs w:val="32"/>
        </w:rPr>
      </w:pPr>
    </w:p>
    <w:p w14:paraId="11188A77">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napToGrid w:val="0"/>
          <w:kern w:val="0"/>
          <w:sz w:val="32"/>
          <w:szCs w:val="32"/>
        </w:rPr>
      </w:pPr>
    </w:p>
    <w:p w14:paraId="122C99C5">
      <w:pPr>
        <w:keepNext w:val="0"/>
        <w:keepLines w:val="0"/>
        <w:pageBreakBefore w:val="0"/>
        <w:widowControl w:val="0"/>
        <w:kinsoku/>
        <w:wordWrap w:val="0"/>
        <w:overflowPunct/>
        <w:topLinePunct w:val="0"/>
        <w:autoSpaceDE/>
        <w:autoSpaceDN/>
        <w:bidi w:val="0"/>
        <w:adjustRightInd/>
        <w:snapToGrid/>
        <w:spacing w:line="480" w:lineRule="exact"/>
        <w:ind w:firstLine="4480" w:firstLineChars="14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宁乡</w:t>
      </w:r>
      <w:r>
        <w:rPr>
          <w:rFonts w:hint="eastAsia" w:ascii="仿宋_GB2312" w:hAnsi="仿宋_GB2312" w:eastAsia="仿宋_GB2312" w:cs="仿宋_GB2312"/>
          <w:sz w:val="32"/>
          <w:szCs w:val="32"/>
        </w:rPr>
        <w:t>市人民政府</w:t>
      </w:r>
      <w:r>
        <w:rPr>
          <w:rFonts w:hint="eastAsia" w:ascii="仿宋_GB2312" w:hAnsi="仿宋_GB2312" w:eastAsia="仿宋_GB2312" w:cs="仿宋_GB2312"/>
          <w:sz w:val="32"/>
          <w:szCs w:val="32"/>
          <w:lang w:val="en-US" w:eastAsia="zh-CN"/>
        </w:rPr>
        <w:t xml:space="preserve">         </w:t>
      </w:r>
    </w:p>
    <w:p w14:paraId="1ADE246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2025年  月  日        </w:t>
      </w:r>
    </w:p>
    <w:p w14:paraId="593AB476">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Times New Roman" w:hAnsi="Times New Roman" w:eastAsia="仿宋_GB2312" w:cs="Times New Roman"/>
          <w:sz w:val="34"/>
          <w:szCs w:val="34"/>
          <w:lang w:val="en-US" w:eastAsia="zh-CN"/>
        </w:rPr>
      </w:pPr>
    </w:p>
    <w:p w14:paraId="16021B15">
      <w:pPr>
        <w:ind w:firstLine="420" w:firstLineChars="200"/>
      </w:pPr>
    </w:p>
    <w:p w14:paraId="5E41C0D6">
      <w:pPr>
        <w:rPr>
          <w:rFonts w:hint="default"/>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7C6637"/>
    <w:rsid w:val="234832D6"/>
    <w:rsid w:val="374240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2025-05-30T03:19:00Z</dcterms:created>
  <dc:creator>Administrator</dc:creator>
  <cp:lastModifiedBy>办公室（宁乡市）</cp:lastModifiedBy>
  <dcterms:modified xsi:type="dcterms:W3CDTF">2025-10-23T01:58:51Z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eyJoZGlkIjoiY2Y4MDRlNTBhYzAzODhjMzAzMTVjZDY4YTY3NjgwMWQiLCJ1c2VySWQiOiIxNDgxMDU1NTQwIn0=</vt:lpwstr>
  </property>
  <property fmtid="{D5CDD505-2E9C-101B-9397-08002B2CF9AE}" pid="4" name="ICV">
    <vt:lpwstr>4AA9895B85F7453DA80CCB1128F0899E_13</vt:lpwstr>
  </property>
</Properties>
</file>