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AFDCD4">
      <w:pPr>
        <w:keepNext w:val="0"/>
        <w:keepLines w:val="0"/>
        <w:pageBreakBefore w:val="0"/>
        <w:widowControl w:val="0"/>
        <w:kinsoku/>
        <w:wordWrap/>
        <w:overflowPunct/>
        <w:topLinePunct w:val="0"/>
        <w:autoSpaceDE/>
        <w:autoSpaceDN/>
        <w:bidi w:val="0"/>
        <w:adjustRightInd/>
        <w:snapToGrid w:val="0"/>
        <w:spacing w:beforeAutospacing="0" w:afterAutospacing="0" w:line="560" w:lineRule="atLeast"/>
        <w:ind w:right="0"/>
        <w:jc w:val="center"/>
        <w:rPr>
          <w:rFonts w:hint="eastAsia" w:ascii="Times New Roman" w:hAnsi="Times New Roman" w:eastAsia="方正小标宋简体" w:cs="方正小标宋简体"/>
          <w:b w:val="0"/>
          <w:bCs w:val="0"/>
          <w:color w:val="auto"/>
          <w:kern w:val="2"/>
          <w:sz w:val="44"/>
          <w:szCs w:val="44"/>
          <w:lang w:val="en-US" w:eastAsia="zh-CN" w:bidi="ar-SA"/>
        </w:rPr>
      </w:pPr>
      <w:r>
        <w:rPr>
          <w:rFonts w:hint="eastAsia" w:ascii="Times New Roman" w:hAnsi="Times New Roman" w:eastAsia="方正小标宋简体" w:cs="方正小标宋简体"/>
          <w:b w:val="0"/>
          <w:bCs w:val="0"/>
          <w:i w:val="0"/>
          <w:iCs w:val="0"/>
          <w:color w:val="auto"/>
          <w:spacing w:val="0"/>
          <w:kern w:val="0"/>
          <w:sz w:val="44"/>
          <w:szCs w:val="44"/>
          <w:shd w:val="clear" w:fill="FFFFFF"/>
          <w:lang w:val="en-US" w:eastAsia="zh-CN" w:bidi="ar"/>
        </w:rPr>
        <w:t>关于进一步推动产业高质量发展的十条措施（征求意见稿）</w:t>
      </w:r>
    </w:p>
    <w:p w14:paraId="0A66277D">
      <w:pPr>
        <w:keepNext w:val="0"/>
        <w:keepLines w:val="0"/>
        <w:pageBreakBefore w:val="0"/>
        <w:widowControl w:val="0"/>
        <w:shd w:val="clear" w:color="auto" w:fill="auto"/>
        <w:kinsoku/>
        <w:wordWrap/>
        <w:overflowPunct w:val="0"/>
        <w:topLinePunct w:val="0"/>
        <w:autoSpaceDE w:val="0"/>
        <w:autoSpaceDN w:val="0"/>
        <w:bidi w:val="0"/>
        <w:adjustRightInd/>
        <w:snapToGrid w:val="0"/>
        <w:spacing w:beforeAutospacing="0" w:afterAutospacing="0" w:line="560" w:lineRule="atLeast"/>
        <w:ind w:left="0" w:right="0" w:firstLine="640" w:firstLineChars="200"/>
        <w:jc w:val="both"/>
        <w:rPr>
          <w:rFonts w:hint="eastAsia" w:ascii="Times New Roman" w:hAnsi="Times New Roman" w:eastAsia="仿宋_GB2312"/>
          <w:b w:val="0"/>
          <w:bCs w:val="0"/>
          <w:color w:val="auto"/>
          <w:spacing w:val="0"/>
          <w:kern w:val="2"/>
          <w:sz w:val="32"/>
          <w:szCs w:val="32"/>
          <w:lang w:val="en-US" w:eastAsia="zh-CN" w:bidi="ar-SA"/>
        </w:rPr>
      </w:pPr>
    </w:p>
    <w:p w14:paraId="4613E701">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atLeast"/>
        <w:ind w:firstLine="640" w:firstLineChars="200"/>
        <w:outlineLvl w:val="1"/>
        <w:rPr>
          <w:rFonts w:hint="eastAsia" w:ascii="Times New Roman" w:hAnsi="Times New Roman" w:eastAsia="仿宋_GB2312" w:cs="仿宋_GB2312"/>
          <w:b w:val="0"/>
          <w:bCs w:val="0"/>
          <w:color w:val="auto"/>
          <w:spacing w:val="0"/>
          <w:kern w:val="2"/>
          <w:sz w:val="32"/>
          <w:szCs w:val="32"/>
          <w:lang w:val="en-US" w:eastAsia="zh-CN" w:bidi="ar-SA"/>
        </w:rPr>
      </w:pPr>
      <w:r>
        <w:rPr>
          <w:rFonts w:hint="eastAsia" w:ascii="Times New Roman" w:hAnsi="Times New Roman" w:eastAsia="仿宋_GB2312" w:cs="仿宋_GB2312"/>
          <w:b w:val="0"/>
          <w:bCs w:val="0"/>
          <w:color w:val="auto"/>
          <w:spacing w:val="0"/>
          <w:kern w:val="2"/>
          <w:sz w:val="32"/>
          <w:szCs w:val="32"/>
          <w:lang w:val="en-US" w:eastAsia="zh-CN" w:bidi="ar-SA"/>
        </w:rPr>
        <w:t>为全面贯彻党的二十届三中全会精神，聚焦实现“三高四新”美好蓝图，锚定“工业强市、幸福宁乡”发展定位和“建设省会副中心、挺进全国前十强”发展目标，纵深推进“双十双百双千”工程，加快构建现代化产业体系，助力长沙建设全球研发中心城市，全力打造国家先进制造业高地示范区和具有核心竞争力的科技创新高地转化区，奋力跻身全国县域经济的领头羊群，结合我市实际，制定本政策措施。</w:t>
      </w:r>
    </w:p>
    <w:p w14:paraId="61A47119">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atLeast"/>
        <w:ind w:firstLine="640" w:firstLineChars="200"/>
        <w:outlineLvl w:val="1"/>
        <w:rPr>
          <w:rFonts w:hint="eastAsia" w:ascii="Times New Roman" w:hAnsi="Times New Roman" w:eastAsia="黑体" w:cs="黑体"/>
          <w:b w:val="0"/>
          <w:bCs/>
          <w:color w:val="auto"/>
          <w:sz w:val="32"/>
          <w:szCs w:val="32"/>
          <w:lang w:val="en-US" w:eastAsia="zh-CN"/>
        </w:rPr>
      </w:pPr>
      <w:r>
        <w:rPr>
          <w:rFonts w:hint="eastAsia" w:ascii="Times New Roman" w:hAnsi="Times New Roman" w:eastAsia="黑体" w:cs="黑体"/>
          <w:b w:val="0"/>
          <w:bCs/>
          <w:color w:val="auto"/>
          <w:sz w:val="32"/>
          <w:szCs w:val="32"/>
          <w:lang w:val="en-US" w:eastAsia="zh-CN"/>
        </w:rPr>
        <w:t>一、助力工业发展，推动产业升级</w:t>
      </w:r>
    </w:p>
    <w:p w14:paraId="112DA44E">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3" w:firstLineChars="200"/>
        <w:jc w:val="both"/>
        <w:rPr>
          <w:rFonts w:hint="eastAsia" w:ascii="Times New Roman" w:hAnsi="Times New Roman" w:eastAsia="楷体_GB2312" w:cs="楷体_GB2312"/>
          <w:b/>
          <w:bCs/>
          <w:color w:val="auto"/>
          <w:spacing w:val="0"/>
          <w:sz w:val="32"/>
          <w:szCs w:val="32"/>
          <w:lang w:val="en-US" w:eastAsia="zh-CN"/>
        </w:rPr>
      </w:pPr>
      <w:r>
        <w:rPr>
          <w:rFonts w:hint="eastAsia" w:ascii="Times New Roman" w:hAnsi="Times New Roman" w:eastAsia="楷体_GB2312" w:cs="楷体_GB2312"/>
          <w:b/>
          <w:bCs/>
          <w:color w:val="auto"/>
          <w:spacing w:val="0"/>
          <w:sz w:val="32"/>
          <w:szCs w:val="32"/>
          <w:lang w:val="en-US" w:eastAsia="zh-CN"/>
        </w:rPr>
        <w:t>1.企业上台阶奖</w:t>
      </w:r>
    </w:p>
    <w:p w14:paraId="670074B6">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0" w:firstLineChars="200"/>
        <w:jc w:val="both"/>
        <w:rPr>
          <w:rFonts w:hint="eastAsia" w:ascii="Times New Roman" w:hAnsi="Times New Roman" w:eastAsia="仿宋_GB2312" w:cs="仿宋_GB2312"/>
          <w:b/>
          <w:bCs/>
          <w:color w:val="auto"/>
          <w:spacing w:val="0"/>
          <w:sz w:val="32"/>
          <w:szCs w:val="32"/>
          <w:lang w:val="en-US" w:eastAsia="zh-CN"/>
        </w:rPr>
      </w:pPr>
      <w:r>
        <w:rPr>
          <w:rFonts w:hint="eastAsia" w:ascii="Times New Roman" w:hAnsi="Times New Roman" w:eastAsia="仿宋_GB2312" w:cs="仿宋_GB2312"/>
          <w:b w:val="0"/>
          <w:bCs w:val="0"/>
          <w:color w:val="auto"/>
          <w:spacing w:val="0"/>
          <w:sz w:val="32"/>
          <w:szCs w:val="32"/>
          <w:lang w:val="en-US" w:eastAsia="zh-CN"/>
        </w:rPr>
        <w:t>对年产值首次过10亿元的企业，奖励10万元/家；对年产值首次过20亿元的企业，奖励20万元/家；对年产值首次过30亿元的企业，奖励30万元/家；对年产值首次过50亿元的企业，奖励50万元/家；对年产值首次过100亿元的企业，奖励100万元/家；对年产值首次过200亿元的企业，奖励200万元/家，年产值每增加100亿元，奖励增加100万元，单家企业最高奖励1000万元。其中奖励金额的50%由获奖企业用于奖励精英管理团队个人（精英管理团队获奖个人名单由企业确定，原则上不突破企业高管团队与企业主要研发团队）。</w:t>
      </w:r>
      <w:r>
        <w:rPr>
          <w:rFonts w:hint="eastAsia" w:ascii="Times New Roman" w:hAnsi="Times New Roman" w:eastAsia="仿宋_GB2312" w:cs="仿宋_GB2312"/>
          <w:b/>
          <w:bCs/>
          <w:color w:val="auto"/>
          <w:spacing w:val="0"/>
          <w:sz w:val="32"/>
          <w:szCs w:val="32"/>
          <w:lang w:val="en-US" w:eastAsia="zh-CN"/>
        </w:rPr>
        <w:t>（牵头单位：市工信局）</w:t>
      </w:r>
    </w:p>
    <w:p w14:paraId="438C8245">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3" w:firstLineChars="200"/>
        <w:jc w:val="both"/>
        <w:rPr>
          <w:rFonts w:hint="eastAsia" w:ascii="Times New Roman" w:hAnsi="Times New Roman" w:eastAsia="楷体_GB2312" w:cs="楷体_GB2312"/>
          <w:b/>
          <w:bCs/>
          <w:color w:val="auto"/>
          <w:spacing w:val="0"/>
          <w:sz w:val="32"/>
          <w:szCs w:val="32"/>
          <w:lang w:val="en-US" w:eastAsia="zh-CN"/>
        </w:rPr>
      </w:pPr>
      <w:r>
        <w:rPr>
          <w:rFonts w:hint="eastAsia" w:ascii="Times New Roman" w:hAnsi="Times New Roman" w:eastAsia="楷体_GB2312" w:cs="楷体_GB2312"/>
          <w:b/>
          <w:bCs/>
          <w:color w:val="auto"/>
          <w:spacing w:val="0"/>
          <w:sz w:val="32"/>
          <w:szCs w:val="32"/>
          <w:lang w:val="en-US" w:eastAsia="zh-CN"/>
        </w:rPr>
        <w:t>2.设备更新和技术改造融资补贴</w:t>
      </w:r>
    </w:p>
    <w:p w14:paraId="0E167BB3">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0" w:firstLineChars="200"/>
        <w:jc w:val="both"/>
        <w:rPr>
          <w:rFonts w:hint="eastAsia" w:ascii="Times New Roman" w:hAnsi="Times New Roman" w:eastAsia="仿宋_GB2312" w:cs="仿宋_GB2312"/>
          <w:b/>
          <w:bCs/>
          <w:color w:val="auto"/>
          <w:spacing w:val="0"/>
          <w:sz w:val="32"/>
          <w:szCs w:val="32"/>
          <w:lang w:val="en-US" w:eastAsia="zh-CN"/>
        </w:rPr>
      </w:pPr>
      <w:r>
        <w:rPr>
          <w:rFonts w:hint="eastAsia" w:ascii="Times New Roman" w:hAnsi="Times New Roman" w:eastAsia="仿宋_GB2312" w:cs="仿宋_GB2312"/>
          <w:b w:val="0"/>
          <w:bCs w:val="0"/>
          <w:color w:val="auto"/>
          <w:spacing w:val="0"/>
          <w:kern w:val="2"/>
          <w:sz w:val="32"/>
          <w:szCs w:val="32"/>
          <w:lang w:val="en-US" w:eastAsia="zh-CN" w:bidi="ar-SA"/>
        </w:rPr>
        <w:t>对于当年度总投资200万元及以上的设备更新项目，对项目一年期（含）以上贷款按贷款本金的1%给予贴息，贴息期限1年。企业计入可予贴息的贷款额最高不超过设备投资的2倍，且不超过贷款总额，单个企业每年可申报1次，最高补助不超过30万元。同一企业中央、省、市各级技改贴息政策不重复享受。</w:t>
      </w:r>
      <w:r>
        <w:rPr>
          <w:rFonts w:hint="eastAsia" w:ascii="Times New Roman" w:hAnsi="Times New Roman" w:eastAsia="仿宋_GB2312" w:cs="仿宋_GB2312"/>
          <w:b/>
          <w:bCs/>
          <w:color w:val="auto"/>
          <w:spacing w:val="0"/>
          <w:sz w:val="32"/>
          <w:szCs w:val="32"/>
          <w:lang w:val="en-US" w:eastAsia="zh-CN"/>
        </w:rPr>
        <w:t>（牵头单位：市工信局）</w:t>
      </w:r>
    </w:p>
    <w:p w14:paraId="6CC3EDC7">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3" w:firstLineChars="200"/>
        <w:jc w:val="both"/>
        <w:rPr>
          <w:rFonts w:hint="eastAsia" w:ascii="Times New Roman" w:hAnsi="Times New Roman" w:eastAsia="楷体_GB2312" w:cs="楷体_GB2312"/>
          <w:b/>
          <w:bCs/>
          <w:color w:val="auto"/>
          <w:spacing w:val="0"/>
          <w:sz w:val="32"/>
          <w:szCs w:val="32"/>
          <w:lang w:val="en-US" w:eastAsia="zh-CN"/>
        </w:rPr>
      </w:pPr>
      <w:r>
        <w:rPr>
          <w:rFonts w:hint="eastAsia" w:ascii="Times New Roman" w:hAnsi="Times New Roman" w:eastAsia="楷体_GB2312" w:cs="楷体_GB2312"/>
          <w:b/>
          <w:bCs/>
          <w:color w:val="auto"/>
          <w:spacing w:val="0"/>
          <w:sz w:val="32"/>
          <w:szCs w:val="32"/>
          <w:lang w:val="en-US" w:eastAsia="zh-CN"/>
        </w:rPr>
        <w:t>3.新增入规奖</w:t>
      </w:r>
    </w:p>
    <w:p w14:paraId="12095DA1">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0" w:firstLineChars="200"/>
        <w:jc w:val="both"/>
        <w:rPr>
          <w:rFonts w:hint="eastAsia" w:ascii="Times New Roman" w:hAnsi="Times New Roman" w:eastAsia="仿宋_GB2312" w:cs="仿宋_GB2312"/>
          <w:b/>
          <w:bCs/>
          <w:color w:val="auto"/>
          <w:spacing w:val="0"/>
          <w:kern w:val="2"/>
          <w:sz w:val="32"/>
          <w:szCs w:val="32"/>
          <w:lang w:val="en-US" w:eastAsia="zh-CN" w:bidi="ar-SA"/>
        </w:rPr>
      </w:pPr>
      <w:r>
        <w:rPr>
          <w:rFonts w:hint="eastAsia" w:ascii="Times New Roman" w:hAnsi="Times New Roman" w:eastAsia="仿宋_GB2312" w:cs="仿宋_GB2312"/>
          <w:b w:val="0"/>
          <w:bCs w:val="0"/>
          <w:color w:val="auto"/>
          <w:spacing w:val="0"/>
          <w:kern w:val="2"/>
          <w:sz w:val="32"/>
          <w:szCs w:val="32"/>
          <w:lang w:val="en-US" w:eastAsia="zh-CN" w:bidi="ar-SA"/>
        </w:rPr>
        <w:t>对当年新入规工业企业，一次性奖励10万元／家。获得过本级入规奖励的企业不再重复奖励。</w:t>
      </w:r>
      <w:r>
        <w:rPr>
          <w:rFonts w:hint="eastAsia" w:ascii="Times New Roman" w:hAnsi="Times New Roman" w:eastAsia="仿宋_GB2312" w:cs="仿宋_GB2312"/>
          <w:b/>
          <w:bCs/>
          <w:color w:val="auto"/>
          <w:spacing w:val="0"/>
          <w:kern w:val="2"/>
          <w:sz w:val="32"/>
          <w:szCs w:val="32"/>
          <w:lang w:val="en-US" w:eastAsia="zh-CN" w:bidi="ar-SA"/>
        </w:rPr>
        <w:t>（牵头单位：市工信局）</w:t>
      </w:r>
    </w:p>
    <w:p w14:paraId="19F10BFB">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3" w:firstLineChars="200"/>
        <w:jc w:val="both"/>
        <w:rPr>
          <w:rFonts w:hint="eastAsia" w:ascii="Times New Roman" w:hAnsi="Times New Roman" w:eastAsia="楷体_GB2312" w:cs="楷体_GB2312"/>
          <w:b/>
          <w:bCs/>
          <w:color w:val="auto"/>
          <w:spacing w:val="0"/>
          <w:sz w:val="32"/>
          <w:szCs w:val="32"/>
          <w:lang w:val="en-US" w:eastAsia="zh-CN"/>
        </w:rPr>
      </w:pPr>
      <w:r>
        <w:rPr>
          <w:rFonts w:hint="eastAsia" w:ascii="Times New Roman" w:hAnsi="Times New Roman" w:eastAsia="楷体_GB2312" w:cs="楷体_GB2312"/>
          <w:b/>
          <w:bCs/>
          <w:color w:val="auto"/>
          <w:spacing w:val="0"/>
          <w:sz w:val="32"/>
          <w:szCs w:val="32"/>
          <w:lang w:val="en-US" w:eastAsia="zh-CN"/>
        </w:rPr>
        <w:t>4.工业品牌奖</w:t>
      </w:r>
    </w:p>
    <w:p w14:paraId="4D3DDA47">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0" w:firstLineChars="200"/>
        <w:jc w:val="both"/>
        <w:rPr>
          <w:rFonts w:hint="eastAsia" w:ascii="Times New Roman" w:hAnsi="Times New Roman" w:eastAsia="仿宋_GB2312" w:cs="仿宋_GB2312"/>
          <w:b/>
          <w:bCs/>
          <w:color w:val="auto"/>
          <w:spacing w:val="0"/>
          <w:kern w:val="2"/>
          <w:sz w:val="32"/>
          <w:szCs w:val="32"/>
          <w:lang w:val="en-US" w:eastAsia="zh-CN" w:bidi="ar-SA"/>
        </w:rPr>
      </w:pPr>
      <w:r>
        <w:rPr>
          <w:rFonts w:hint="eastAsia" w:ascii="Times New Roman" w:hAnsi="Times New Roman" w:eastAsia="仿宋_GB2312" w:cs="仿宋_GB2312"/>
          <w:b w:val="0"/>
          <w:bCs w:val="0"/>
          <w:color w:val="auto"/>
          <w:spacing w:val="0"/>
          <w:kern w:val="2"/>
          <w:sz w:val="32"/>
          <w:szCs w:val="32"/>
          <w:lang w:val="en-US" w:eastAsia="zh-CN" w:bidi="ar-SA"/>
        </w:rPr>
        <w:t>对获评国家级、省级制造业单项冠军的企业，分别奖励50万元、10万元；对获评国家重点“小巨人”、国家专精特新“小巨人”、省专精特新中小企业，分别奖励50万元、10万元、5万元；对获评国家级、省级、长沙市“智能制造标杆（试点示范）”的企业，分别奖励20万元、5万元、2万元；对获评国家级、省级制造业质量品牌标杆（示范）企业的企业，分别奖励10万元、5万元；对获评国家级、省级绿色工厂的企业，分别奖励10万元、3万元；对获评湖南省数字化转型标杆的企业，奖励5万元；对通过湖南省自愿性清洁生产审核验收的企业，奖励2万元。</w:t>
      </w:r>
      <w:r>
        <w:rPr>
          <w:rFonts w:hint="eastAsia" w:ascii="Times New Roman" w:hAnsi="Times New Roman" w:eastAsia="仿宋_GB2312" w:cs="仿宋_GB2312"/>
          <w:b/>
          <w:bCs/>
          <w:color w:val="auto"/>
          <w:spacing w:val="0"/>
          <w:kern w:val="2"/>
          <w:sz w:val="32"/>
          <w:szCs w:val="32"/>
          <w:lang w:val="en-US" w:eastAsia="zh-CN" w:bidi="ar-SA"/>
        </w:rPr>
        <w:t>（牵头单位：市工信局）</w:t>
      </w:r>
    </w:p>
    <w:p w14:paraId="0CF0A2C9">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3" w:firstLineChars="200"/>
        <w:jc w:val="both"/>
        <w:rPr>
          <w:rFonts w:hint="eastAsia" w:ascii="Times New Roman" w:hAnsi="Times New Roman" w:eastAsia="楷体_GB2312" w:cs="楷体_GB2312"/>
          <w:b/>
          <w:bCs/>
          <w:color w:val="auto"/>
          <w:spacing w:val="0"/>
          <w:sz w:val="32"/>
          <w:szCs w:val="32"/>
          <w:lang w:val="en-US" w:eastAsia="zh-CN"/>
        </w:rPr>
      </w:pPr>
      <w:r>
        <w:rPr>
          <w:rFonts w:hint="eastAsia" w:ascii="Times New Roman" w:hAnsi="Times New Roman" w:eastAsia="楷体_GB2312" w:cs="楷体_GB2312"/>
          <w:b/>
          <w:bCs/>
          <w:color w:val="auto"/>
          <w:spacing w:val="0"/>
          <w:sz w:val="32"/>
          <w:szCs w:val="32"/>
          <w:lang w:val="en-US" w:eastAsia="zh-CN"/>
        </w:rPr>
        <w:t>5.评选“杰出企业家”及“优秀企业家”</w:t>
      </w:r>
    </w:p>
    <w:p w14:paraId="1EA47CD6">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0" w:firstLineChars="200"/>
        <w:jc w:val="both"/>
        <w:rPr>
          <w:rFonts w:hint="eastAsia" w:ascii="Times New Roman" w:hAnsi="Times New Roman" w:eastAsia="仿宋_GB2312" w:cs="仿宋_GB2312"/>
          <w:b/>
          <w:bCs/>
          <w:color w:val="auto"/>
          <w:spacing w:val="0"/>
          <w:kern w:val="2"/>
          <w:sz w:val="32"/>
          <w:szCs w:val="32"/>
          <w:lang w:val="en-US" w:eastAsia="zh-CN" w:bidi="ar-SA"/>
        </w:rPr>
      </w:pPr>
      <w:r>
        <w:rPr>
          <w:rFonts w:hint="eastAsia" w:ascii="Times New Roman" w:hAnsi="Times New Roman" w:eastAsia="仿宋_GB2312" w:cs="仿宋_GB2312"/>
          <w:b w:val="0"/>
          <w:bCs w:val="0"/>
          <w:color w:val="auto"/>
          <w:spacing w:val="0"/>
          <w:kern w:val="2"/>
          <w:sz w:val="32"/>
          <w:szCs w:val="32"/>
          <w:lang w:val="en-US" w:eastAsia="zh-CN" w:bidi="ar-SA"/>
        </w:rPr>
        <w:t>根据企业规模实力以及主要经营指标情况，对发挥产业链带动作用、推动全市制造业高质量发展中发挥了新的重要作用的企业董事长（总经理、CEO、总裁），并在该企业担任此职务2年以上，可评选为“杰出企业家”（每人最高奖励20万元）或“优秀企业家”（每人最高奖励10万元），同一企业或企业家3年内不重复评奖，年度评选共计不超过10人。</w:t>
      </w:r>
      <w:r>
        <w:rPr>
          <w:rFonts w:hint="eastAsia" w:ascii="Times New Roman" w:hAnsi="Times New Roman" w:eastAsia="仿宋_GB2312" w:cs="仿宋_GB2312"/>
          <w:b/>
          <w:bCs/>
          <w:color w:val="auto"/>
          <w:spacing w:val="0"/>
          <w:kern w:val="2"/>
          <w:sz w:val="32"/>
          <w:szCs w:val="32"/>
          <w:lang w:val="en-US" w:eastAsia="zh-CN" w:bidi="ar-SA"/>
        </w:rPr>
        <w:t>（牵头单位：市委组织部、市工信局、市财政局）</w:t>
      </w:r>
    </w:p>
    <w:p w14:paraId="39E03266">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atLeast"/>
        <w:ind w:firstLine="640" w:firstLineChars="200"/>
        <w:outlineLvl w:val="1"/>
        <w:rPr>
          <w:rFonts w:hint="eastAsia" w:ascii="Times New Roman" w:hAnsi="Times New Roman" w:eastAsia="黑体" w:cs="黑体"/>
          <w:b w:val="0"/>
          <w:bCs/>
          <w:color w:val="auto"/>
          <w:sz w:val="32"/>
          <w:szCs w:val="32"/>
          <w:lang w:val="en-US" w:eastAsia="zh-CN"/>
        </w:rPr>
      </w:pPr>
      <w:r>
        <w:rPr>
          <w:rFonts w:hint="eastAsia" w:ascii="Times New Roman" w:hAnsi="Times New Roman" w:eastAsia="黑体" w:cs="黑体"/>
          <w:b w:val="0"/>
          <w:bCs/>
          <w:color w:val="auto"/>
          <w:sz w:val="32"/>
          <w:szCs w:val="32"/>
          <w:lang w:val="en-US" w:eastAsia="zh-CN"/>
        </w:rPr>
        <w:t>二、加强科技创新，促进成果转化</w:t>
      </w:r>
    </w:p>
    <w:p w14:paraId="34FD8844">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3" w:firstLineChars="200"/>
        <w:jc w:val="both"/>
        <w:textAlignment w:val="auto"/>
        <w:rPr>
          <w:rFonts w:hint="eastAsia" w:ascii="Times New Roman" w:hAnsi="Times New Roman" w:eastAsia="楷体_GB2312" w:cs="楷体_GB2312"/>
          <w:b/>
          <w:bCs/>
          <w:color w:val="auto"/>
          <w:spacing w:val="0"/>
          <w:sz w:val="32"/>
          <w:szCs w:val="32"/>
          <w:lang w:val="en-US" w:eastAsia="zh-CN"/>
        </w:rPr>
      </w:pPr>
      <w:r>
        <w:rPr>
          <w:rFonts w:hint="eastAsia" w:ascii="Times New Roman" w:hAnsi="Times New Roman" w:eastAsia="楷体_GB2312" w:cs="楷体_GB2312"/>
          <w:b/>
          <w:bCs/>
          <w:color w:val="auto"/>
          <w:spacing w:val="0"/>
          <w:sz w:val="32"/>
          <w:szCs w:val="32"/>
          <w:lang w:val="en-US" w:eastAsia="zh-CN"/>
        </w:rPr>
        <w:t>6.科研平台建设奖</w:t>
      </w:r>
    </w:p>
    <w:p w14:paraId="4E0D6161">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atLeast"/>
        <w:ind w:firstLine="640" w:firstLineChars="200"/>
        <w:textAlignment w:val="auto"/>
        <w:outlineLvl w:val="1"/>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对新获批组建的国家级、省级、长沙市级重点实验室、技术创新中心、工程技术研究中心、企业研发中心、全球研发中心、新一代人工智能开放创新平台、工程研究中心、工业设计中心、制造业创新中心、企业技术中心等，分别给予20万元、5万元、2万元的奖励；其他获批组建的国家级、省级、长沙市级新型研发机构、创新联合体及文化和科技融合示范基地等参照此政策执行。对进入宁乡市中试基地培育名单且被新认定为国家、省、市中试基地，分别给予20万元、10万元、5万元经费奖励。支持中试基地运营与设备开放，对纳入宁乡市中试基地培育名单且被长沙市级以上认定的中试基地每年根据上年度实际共享开放仪器设备服务性收入的10%给予奖励，单家企业每年累计额不超过10万元。</w:t>
      </w:r>
      <w:r>
        <w:rPr>
          <w:rFonts w:hint="eastAsia" w:ascii="Times New Roman" w:hAnsi="Times New Roman" w:eastAsia="仿宋_GB2312" w:cs="仿宋_GB2312"/>
          <w:b/>
          <w:bCs/>
          <w:color w:val="auto"/>
          <w:sz w:val="32"/>
          <w:szCs w:val="32"/>
          <w:lang w:val="en-US" w:eastAsia="zh-CN"/>
        </w:rPr>
        <w:t>（牵头单位：市科技局）</w:t>
      </w:r>
    </w:p>
    <w:p w14:paraId="10DF62E5">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3" w:firstLineChars="200"/>
        <w:jc w:val="both"/>
        <w:textAlignment w:val="auto"/>
        <w:rPr>
          <w:rFonts w:hint="eastAsia" w:ascii="Times New Roman" w:hAnsi="Times New Roman" w:eastAsia="楷体_GB2312" w:cs="楷体_GB2312"/>
          <w:b/>
          <w:bCs/>
          <w:color w:val="auto"/>
          <w:spacing w:val="0"/>
          <w:sz w:val="32"/>
          <w:szCs w:val="32"/>
          <w:lang w:val="en-US" w:eastAsia="zh-CN"/>
        </w:rPr>
      </w:pPr>
      <w:r>
        <w:rPr>
          <w:rFonts w:hint="eastAsia" w:ascii="Times New Roman" w:hAnsi="Times New Roman" w:eastAsia="楷体_GB2312" w:cs="楷体_GB2312"/>
          <w:b/>
          <w:bCs/>
          <w:color w:val="auto"/>
          <w:spacing w:val="0"/>
          <w:sz w:val="32"/>
          <w:szCs w:val="32"/>
          <w:lang w:val="en-US" w:eastAsia="zh-CN"/>
        </w:rPr>
        <w:t>7.核心技术攻关奖</w:t>
      </w:r>
    </w:p>
    <w:p w14:paraId="229BFB96">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atLeast"/>
        <w:ind w:firstLine="640" w:firstLineChars="200"/>
        <w:textAlignment w:val="auto"/>
        <w:outlineLvl w:val="1"/>
        <w:rPr>
          <w:rFonts w:hint="eastAsia" w:ascii="Times New Roman" w:hAnsi="Times New Roman" w:eastAsia="仿宋_GB2312" w:cs="仿宋_GB2312"/>
          <w:color w:val="auto"/>
          <w:kern w:val="2"/>
          <w:sz w:val="32"/>
          <w:szCs w:val="32"/>
          <w:lang w:val="en-US" w:eastAsia="zh-CN" w:bidi="ar-SA"/>
        </w:rPr>
      </w:pPr>
      <w:r>
        <w:rPr>
          <w:rFonts w:hint="eastAsia" w:ascii="Times New Roman" w:hAnsi="Times New Roman" w:eastAsia="仿宋_GB2312" w:cs="仿宋_GB2312"/>
          <w:b w:val="0"/>
          <w:bCs w:val="0"/>
          <w:color w:val="auto"/>
          <w:sz w:val="32"/>
          <w:szCs w:val="32"/>
          <w:lang w:val="en-US" w:eastAsia="zh-CN"/>
        </w:rPr>
        <w:t>鼓励支持企业承担国家、省、长沙市“揭榜挂帅”“十大技术攻关”等重大科技项目。</w:t>
      </w:r>
      <w:r>
        <w:rPr>
          <w:rFonts w:hint="eastAsia" w:ascii="Times New Roman" w:hAnsi="Times New Roman" w:eastAsia="仿宋_GB2312" w:cs="仿宋_GB2312"/>
          <w:color w:val="auto"/>
          <w:kern w:val="2"/>
          <w:sz w:val="32"/>
          <w:szCs w:val="32"/>
          <w:lang w:val="en-US" w:eastAsia="zh-CN" w:bidi="ar-SA"/>
        </w:rPr>
        <w:t>对当年获得国家技术发明或科学技术进步特等、一等、二等奖的企业，分别给予30万元、20万元、10万元奖励；对当年获得省技术发明或科学技术进步特等、一等、二等、三等奖的企业，分别给予20万元、10万元、8万元、3万元的奖励。对获得国家科技创新创业大赛一、二、三等奖的企业，分别奖励100万元、50万元、30万元。对获得省科技创新创业大赛一、二、三等奖及优秀奖的企业，分别奖励10万元、8万元、3万元、1万元。对当年完成技术鉴定，经省科技部门进行登记后，按照国际领先与先进、国内领先与先进分别给予1万元、5000元每项的奖励，单个企业最高不超过10万元。</w:t>
      </w:r>
      <w:r>
        <w:rPr>
          <w:rFonts w:hint="eastAsia" w:ascii="Times New Roman" w:hAnsi="Times New Roman" w:eastAsia="仿宋_GB2312" w:cs="仿宋_GB2312"/>
          <w:b/>
          <w:bCs/>
          <w:color w:val="auto"/>
          <w:sz w:val="32"/>
          <w:szCs w:val="32"/>
          <w:lang w:val="en-US" w:eastAsia="zh-CN"/>
        </w:rPr>
        <w:t>（牵头单位：市科技局）</w:t>
      </w:r>
    </w:p>
    <w:p w14:paraId="312A216D">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3" w:firstLineChars="200"/>
        <w:jc w:val="both"/>
        <w:textAlignment w:val="auto"/>
        <w:rPr>
          <w:rFonts w:hint="eastAsia" w:ascii="Times New Roman" w:hAnsi="Times New Roman" w:eastAsia="楷体_GB2312" w:cs="楷体_GB2312"/>
          <w:b/>
          <w:bCs/>
          <w:color w:val="auto"/>
          <w:spacing w:val="0"/>
          <w:sz w:val="32"/>
          <w:szCs w:val="32"/>
          <w:lang w:val="en-US" w:eastAsia="zh-CN"/>
        </w:rPr>
      </w:pPr>
      <w:r>
        <w:rPr>
          <w:rFonts w:hint="eastAsia" w:ascii="Times New Roman" w:hAnsi="Times New Roman" w:eastAsia="楷体_GB2312" w:cs="楷体_GB2312"/>
          <w:b/>
          <w:bCs/>
          <w:color w:val="auto"/>
          <w:spacing w:val="0"/>
          <w:sz w:val="32"/>
          <w:szCs w:val="32"/>
          <w:lang w:val="en-US" w:eastAsia="zh-CN"/>
        </w:rPr>
        <w:t>8.成果落地转化奖</w:t>
      </w:r>
    </w:p>
    <w:p w14:paraId="7938413E">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atLeast"/>
        <w:ind w:firstLine="640" w:firstLineChars="200"/>
        <w:textAlignment w:val="auto"/>
        <w:outlineLvl w:val="1"/>
        <w:rPr>
          <w:rFonts w:hint="eastAsia" w:ascii="Times New Roman" w:hAnsi="Times New Roman" w:eastAsia="仿宋_GB2312" w:cs="仿宋_GB2312"/>
          <w:b w:val="0"/>
          <w:bCs/>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深入开展“科创桥”计划，常态化开展各类科技成果对接及路演活动。鼓励高校院所在职研究人员、在校学生（含博士硕士）、毕业三年内创新创业团队来宁进行科技成果产业化，近两年内在宁乡完成注册及正常办公，具备一定科技含量，且对我市优势产业及</w:t>
      </w:r>
      <w:bookmarkStart w:id="0" w:name="_GoBack"/>
      <w:bookmarkEnd w:id="0"/>
      <w:r>
        <w:rPr>
          <w:rFonts w:hint="eastAsia" w:ascii="Times New Roman" w:hAnsi="Times New Roman" w:eastAsia="仿宋_GB2312" w:cs="仿宋_GB2312"/>
          <w:b w:val="0"/>
          <w:bCs/>
          <w:color w:val="auto"/>
          <w:sz w:val="32"/>
          <w:szCs w:val="32"/>
          <w:lang w:val="en-US" w:eastAsia="zh-CN"/>
        </w:rPr>
        <w:t>战略性新兴产业发展有较大促进作用的企业，奖励20万元，每年支持不超过5个；企业注册两年之内，形成的产品或服务性收入达到500万元以上的，再给予10万元奖励，单个企业累计最高奖励不超过30万元。支持企业主动吸纳承接高校、科研院所科技成果，对承接校所技术开发、技术转让、技术许可在宁转化，经技术合同认定登记后，单项成果年度累计实际支付额100万元以上的享受长沙市相关政策奖励，100万元以下的由宁乡市给予2%的项目经费奖励，每个企业每年累计最高奖励20万元。</w:t>
      </w:r>
      <w:r>
        <w:rPr>
          <w:rFonts w:hint="eastAsia" w:ascii="Times New Roman" w:hAnsi="Times New Roman" w:eastAsia="仿宋_GB2312" w:cs="仿宋_GB2312"/>
          <w:b/>
          <w:bCs/>
          <w:color w:val="auto"/>
          <w:sz w:val="32"/>
          <w:szCs w:val="32"/>
          <w:lang w:val="en-US" w:eastAsia="zh-CN"/>
        </w:rPr>
        <w:t>（牵头单位：市科技局）</w:t>
      </w:r>
    </w:p>
    <w:p w14:paraId="2EED4940">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3" w:firstLineChars="200"/>
        <w:jc w:val="both"/>
        <w:textAlignment w:val="auto"/>
        <w:rPr>
          <w:rFonts w:hint="eastAsia" w:ascii="Times New Roman" w:hAnsi="Times New Roman" w:eastAsia="楷体_GB2312" w:cs="楷体_GB2312"/>
          <w:b/>
          <w:bCs/>
          <w:color w:val="auto"/>
          <w:spacing w:val="0"/>
          <w:sz w:val="32"/>
          <w:szCs w:val="32"/>
          <w:lang w:val="en-US" w:eastAsia="zh-CN"/>
        </w:rPr>
      </w:pPr>
      <w:r>
        <w:rPr>
          <w:rFonts w:hint="eastAsia" w:ascii="Times New Roman" w:hAnsi="Times New Roman" w:eastAsia="楷体_GB2312" w:cs="楷体_GB2312"/>
          <w:b/>
          <w:bCs/>
          <w:color w:val="auto"/>
          <w:spacing w:val="0"/>
          <w:sz w:val="32"/>
          <w:szCs w:val="32"/>
          <w:lang w:val="en-US" w:eastAsia="zh-CN"/>
        </w:rPr>
        <w:t>9.技术合同认定奖</w:t>
      </w:r>
    </w:p>
    <w:p w14:paraId="0CF73A8B">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atLeast"/>
        <w:ind w:firstLine="640" w:firstLineChars="200"/>
        <w:textAlignment w:val="auto"/>
        <w:outlineLvl w:val="2"/>
        <w:rPr>
          <w:rFonts w:hint="eastAsia"/>
          <w:color w:val="auto"/>
          <w:lang w:val="en-US" w:eastAsia="zh-CN"/>
        </w:rPr>
      </w:pPr>
      <w:r>
        <w:rPr>
          <w:rFonts w:hint="eastAsia" w:ascii="Times New Roman" w:hAnsi="Times New Roman" w:eastAsia="仿宋_GB2312" w:cs="仿宋_GB2312"/>
          <w:b w:val="0"/>
          <w:bCs/>
          <w:color w:val="auto"/>
          <w:kern w:val="2"/>
          <w:sz w:val="32"/>
          <w:szCs w:val="32"/>
          <w:lang w:val="en-US" w:eastAsia="zh-CN" w:bidi="ar-SA"/>
        </w:rPr>
        <w:t>对我市范围内企事业单位的技术合同经长沙市技术合同登记点认定后，按其年度累计登记合同成交额的0.1‰给予奖励，每个企业最高奖励不超过10万元。经市科技行政管理部门认定备案，从事技术合同认定登记服务工作的技术交易服务机构，完成上级下达的合同成交额任务，按其年度累计登记合同成交额的0.04‰给予奖励，每家科技服务机构最高奖励不超过15万元；未完成全市总任务，按完成比例折算兑现。</w:t>
      </w:r>
      <w:r>
        <w:rPr>
          <w:rFonts w:hint="eastAsia" w:ascii="Times New Roman" w:hAnsi="Times New Roman" w:eastAsia="仿宋_GB2312" w:cs="仿宋_GB2312"/>
          <w:b/>
          <w:bCs/>
          <w:color w:val="auto"/>
          <w:sz w:val="32"/>
          <w:szCs w:val="32"/>
          <w:lang w:val="en-US" w:eastAsia="zh-CN"/>
        </w:rPr>
        <w:t>（牵头单位：市科技局）</w:t>
      </w:r>
    </w:p>
    <w:p w14:paraId="50D9BF07">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Autospacing="0" w:line="560" w:lineRule="atLeast"/>
        <w:ind w:left="0" w:right="0" w:firstLine="643" w:firstLineChars="200"/>
        <w:jc w:val="both"/>
        <w:textAlignment w:val="auto"/>
        <w:rPr>
          <w:rFonts w:hint="eastAsia" w:ascii="Times New Roman" w:hAnsi="Times New Roman" w:eastAsia="楷体_GB2312" w:cs="楷体_GB2312"/>
          <w:b/>
          <w:bCs/>
          <w:color w:val="auto"/>
          <w:spacing w:val="0"/>
          <w:sz w:val="32"/>
          <w:szCs w:val="32"/>
          <w:lang w:val="en-US" w:eastAsia="zh-CN"/>
        </w:rPr>
      </w:pPr>
      <w:r>
        <w:rPr>
          <w:rFonts w:hint="eastAsia" w:ascii="Times New Roman" w:hAnsi="Times New Roman" w:eastAsia="楷体_GB2312" w:cs="楷体_GB2312"/>
          <w:b/>
          <w:bCs/>
          <w:color w:val="auto"/>
          <w:spacing w:val="0"/>
          <w:sz w:val="32"/>
          <w:szCs w:val="32"/>
          <w:lang w:val="en-US" w:eastAsia="zh-CN"/>
        </w:rPr>
        <w:t>10.“科创桥”人才服务奖</w:t>
      </w:r>
    </w:p>
    <w:p w14:paraId="04A4E9D9">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atLeast"/>
        <w:ind w:firstLine="640" w:firstLineChars="200"/>
        <w:textAlignment w:val="auto"/>
        <w:outlineLvl w:val="1"/>
        <w:rPr>
          <w:rFonts w:hint="eastAsia" w:ascii="Times New Roman" w:hAnsi="Times New Roman" w:eastAsia="仿宋_GB2312" w:cs="仿宋_GB2312"/>
          <w:b/>
          <w:bCs/>
          <w:color w:val="auto"/>
          <w:sz w:val="32"/>
          <w:szCs w:val="32"/>
          <w:lang w:val="en-US" w:eastAsia="zh-CN"/>
        </w:rPr>
      </w:pPr>
      <w:r>
        <w:rPr>
          <w:rFonts w:hint="eastAsia" w:ascii="Times New Roman" w:hAnsi="Times New Roman" w:eastAsia="仿宋_GB2312" w:cs="仿宋_GB2312"/>
          <w:color w:val="auto"/>
          <w:sz w:val="32"/>
          <w:szCs w:val="32"/>
          <w:lang w:val="en-US" w:eastAsia="zh-CN"/>
        </w:rPr>
        <w:t>持续实施“科创桥”人才计划，每年选派“科创桥”人才库中专家不超过20人，派驻到工业企业一线开展技术攻关、成果转化等科技服务，根据其服务及成果转移转化情况，对“优秀服务个人（每年评选不超过20个）”给予每人每年不超过2万元奖励。</w:t>
      </w:r>
      <w:r>
        <w:rPr>
          <w:rFonts w:hint="eastAsia" w:ascii="Times New Roman" w:hAnsi="Times New Roman" w:eastAsia="仿宋_GB2312" w:cs="仿宋_GB2312"/>
          <w:b/>
          <w:bCs/>
          <w:color w:val="auto"/>
          <w:sz w:val="32"/>
          <w:szCs w:val="32"/>
          <w:lang w:val="en-US" w:eastAsia="zh-CN"/>
        </w:rPr>
        <w:t>（牵头单位：市科技局）</w:t>
      </w:r>
    </w:p>
    <w:p w14:paraId="3EF9FFF4">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atLeast"/>
        <w:ind w:firstLine="640" w:firstLineChars="200"/>
        <w:outlineLvl w:val="1"/>
        <w:rPr>
          <w:rFonts w:hint="eastAsia" w:ascii="Times New Roman" w:hAnsi="Times New Roman" w:eastAsia="黑体" w:cs="黑体"/>
          <w:b w:val="0"/>
          <w:bCs/>
          <w:color w:val="auto"/>
          <w:sz w:val="32"/>
          <w:szCs w:val="32"/>
          <w:lang w:val="en-US" w:eastAsia="zh-CN"/>
        </w:rPr>
      </w:pPr>
      <w:r>
        <w:rPr>
          <w:rFonts w:hint="eastAsia" w:ascii="Times New Roman" w:hAnsi="Times New Roman" w:eastAsia="黑体" w:cs="黑体"/>
          <w:b w:val="0"/>
          <w:bCs/>
          <w:color w:val="auto"/>
          <w:sz w:val="32"/>
          <w:szCs w:val="32"/>
          <w:lang w:val="en-US" w:eastAsia="zh-CN"/>
        </w:rPr>
        <w:t>三、附则</w:t>
      </w:r>
    </w:p>
    <w:p w14:paraId="1A87B4E1">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0" w:afterAutospacing="0" w:line="560" w:lineRule="atLeast"/>
        <w:ind w:firstLine="640" w:firstLineChars="200"/>
        <w:jc w:val="both"/>
        <w:rPr>
          <w:rFonts w:hint="eastAsia" w:ascii="Times New Roman" w:hAnsi="Times New Roman" w:eastAsia="仿宋_GB2312" w:cs="仿宋_GB2312"/>
          <w:b w:val="0"/>
          <w:bCs w:val="0"/>
          <w:color w:val="auto"/>
          <w:spacing w:val="0"/>
          <w:sz w:val="32"/>
          <w:szCs w:val="32"/>
        </w:rPr>
      </w:pPr>
      <w:r>
        <w:rPr>
          <w:rFonts w:hint="eastAsia" w:ascii="Times New Roman" w:hAnsi="Times New Roman" w:eastAsia="仿宋_GB2312" w:cs="仿宋_GB2312"/>
          <w:b w:val="0"/>
          <w:bCs w:val="0"/>
          <w:color w:val="auto"/>
          <w:spacing w:val="0"/>
          <w:sz w:val="32"/>
          <w:szCs w:val="32"/>
          <w:lang w:val="en-US" w:eastAsia="zh-CN"/>
        </w:rPr>
        <w:t>（一）根据《</w:t>
      </w:r>
      <w:r>
        <w:rPr>
          <w:rFonts w:hint="eastAsia" w:ascii="Times New Roman" w:hAnsi="Times New Roman" w:eastAsia="仿宋_GB2312" w:cs="仿宋_GB2312"/>
          <w:b w:val="0"/>
          <w:bCs w:val="0"/>
          <w:color w:val="auto"/>
          <w:spacing w:val="0"/>
          <w:sz w:val="32"/>
          <w:szCs w:val="32"/>
          <w:lang w:eastAsia="zh-CN"/>
        </w:rPr>
        <w:t>湖南省税费精诚共治办法</w:t>
      </w:r>
      <w:r>
        <w:rPr>
          <w:rFonts w:hint="eastAsia" w:ascii="Times New Roman" w:hAnsi="Times New Roman" w:eastAsia="仿宋_GB2312" w:cs="仿宋_GB2312"/>
          <w:b w:val="0"/>
          <w:bCs w:val="0"/>
          <w:color w:val="auto"/>
          <w:spacing w:val="0"/>
          <w:sz w:val="32"/>
          <w:szCs w:val="32"/>
          <w:lang w:val="en-US" w:eastAsia="zh-CN"/>
        </w:rPr>
        <w:t>》，对存在偷税漏税被依法查处查实的，取消当年奖补支持；</w:t>
      </w:r>
      <w:r>
        <w:rPr>
          <w:rFonts w:hint="eastAsia" w:ascii="Times New Roman" w:hAnsi="Times New Roman" w:eastAsia="仿宋_GB2312" w:cs="仿宋_GB2312"/>
          <w:b w:val="0"/>
          <w:bCs w:val="0"/>
          <w:color w:val="auto"/>
          <w:spacing w:val="0"/>
          <w:sz w:val="32"/>
          <w:szCs w:val="32"/>
        </w:rPr>
        <w:t>对发生生产安全事故和环保违法行为被查处的企业，实行</w:t>
      </w:r>
      <w:r>
        <w:rPr>
          <w:rFonts w:hint="eastAsia" w:ascii="Times New Roman" w:hAnsi="Times New Roman" w:eastAsia="仿宋_GB2312" w:cs="仿宋_GB2312"/>
          <w:b w:val="0"/>
          <w:bCs w:val="0"/>
          <w:color w:val="auto"/>
          <w:spacing w:val="0"/>
          <w:sz w:val="32"/>
          <w:szCs w:val="32"/>
          <w:lang w:val="en-US" w:eastAsia="zh-CN"/>
        </w:rPr>
        <w:t>当年</w:t>
      </w:r>
      <w:r>
        <w:rPr>
          <w:rFonts w:hint="eastAsia" w:ascii="Times New Roman" w:hAnsi="Times New Roman" w:eastAsia="仿宋_GB2312" w:cs="仿宋_GB2312"/>
          <w:b w:val="0"/>
          <w:bCs w:val="0"/>
          <w:color w:val="auto"/>
          <w:spacing w:val="0"/>
          <w:sz w:val="32"/>
          <w:szCs w:val="32"/>
        </w:rPr>
        <w:t>“一票否决”。</w:t>
      </w:r>
    </w:p>
    <w:p w14:paraId="7720FA35">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0" w:afterAutospacing="0" w:line="560" w:lineRule="atLeast"/>
        <w:ind w:firstLine="640" w:firstLineChars="200"/>
        <w:jc w:val="both"/>
        <w:rPr>
          <w:rFonts w:hint="eastAsia" w:ascii="Times New Roman" w:hAnsi="Times New Roman" w:eastAsia="仿宋_GB2312" w:cs="仿宋_GB2312"/>
          <w:b w:val="0"/>
          <w:bCs w:val="0"/>
          <w:color w:val="auto"/>
          <w:spacing w:val="0"/>
          <w:kern w:val="2"/>
          <w:sz w:val="32"/>
          <w:szCs w:val="32"/>
          <w:lang w:val="en-US" w:eastAsia="zh-CN" w:bidi="ar-SA"/>
        </w:rPr>
      </w:pPr>
      <w:r>
        <w:rPr>
          <w:rFonts w:hint="eastAsia" w:ascii="Times New Roman" w:hAnsi="Times New Roman" w:eastAsia="仿宋_GB2312" w:cs="仿宋_GB2312"/>
          <w:b w:val="0"/>
          <w:bCs w:val="0"/>
          <w:color w:val="auto"/>
          <w:spacing w:val="0"/>
          <w:kern w:val="2"/>
          <w:sz w:val="32"/>
          <w:szCs w:val="32"/>
          <w:lang w:val="en-US" w:eastAsia="zh-CN" w:bidi="ar-SA"/>
        </w:rPr>
        <w:t>（二）本政策措施由市委组织部、市工信局、市科技局、市财政局负责解释。各牵头单位要出台具体实施细则，明确申报流程、责任科室和服务联系电话、监督电话，并公开发布，确保落实到位。其中，本政策措施第1—5项由市工信局牵头认定；第6—10项由市科技局牵头认定。奖励、补贴资金由各牵头单位和市财政局核定、公示，市财政按年度统筹予以安排并负责监管和绩效评估。</w:t>
      </w:r>
    </w:p>
    <w:p w14:paraId="4FC05AFB">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0" w:afterAutospacing="0" w:line="560" w:lineRule="atLeast"/>
        <w:ind w:left="0" w:firstLine="640" w:firstLineChars="200"/>
        <w:jc w:val="both"/>
        <w:rPr>
          <w:rFonts w:hint="eastAsia" w:ascii="Times New Roman" w:hAnsi="Times New Roman" w:eastAsia="仿宋_GB2312" w:cs="仿宋_GB2312"/>
          <w:b w:val="0"/>
          <w:bCs w:val="0"/>
          <w:color w:val="auto"/>
          <w:spacing w:val="0"/>
          <w:kern w:val="2"/>
          <w:sz w:val="32"/>
          <w:szCs w:val="32"/>
          <w:lang w:val="en-US" w:eastAsia="zh-CN" w:bidi="ar-SA"/>
        </w:rPr>
      </w:pPr>
      <w:r>
        <w:rPr>
          <w:rFonts w:hint="eastAsia" w:ascii="Times New Roman" w:hAnsi="Times New Roman" w:eastAsia="仿宋_GB2312" w:cs="仿宋_GB2312"/>
          <w:b w:val="0"/>
          <w:bCs w:val="0"/>
          <w:color w:val="auto"/>
          <w:spacing w:val="0"/>
          <w:kern w:val="2"/>
          <w:sz w:val="32"/>
          <w:szCs w:val="32"/>
          <w:lang w:val="en-US" w:eastAsia="zh-CN" w:bidi="ar-SA"/>
        </w:rPr>
        <w:t>（三）本政策措施所涉及的奖补资金，园区企业由市本级财政与园区财政根据税收分成体制分别承担40 %和60 %，园区外企业由市本级财政全额承担。同一奖项上级有奖励资金的，按就高不就低原则，不重复奖励（国家专精特新“小巨人”、新增入规奖除外）。</w:t>
      </w:r>
    </w:p>
    <w:p w14:paraId="0FCCC145">
      <w:pPr>
        <w:keepNext w:val="0"/>
        <w:keepLines w:val="0"/>
        <w:pageBreakBefore w:val="0"/>
        <w:widowControl w:val="0"/>
        <w:shd w:val="clear" w:color="auto" w:fill="auto"/>
        <w:kinsoku/>
        <w:wordWrap/>
        <w:overflowPunct w:val="0"/>
        <w:topLinePunct w:val="0"/>
        <w:autoSpaceDE w:val="0"/>
        <w:autoSpaceDN w:val="0"/>
        <w:bidi w:val="0"/>
        <w:adjustRightInd w:val="0"/>
        <w:snapToGrid w:val="0"/>
        <w:spacing w:beforeAutospacing="0" w:after="0" w:afterAutospacing="0" w:line="560" w:lineRule="atLeast"/>
        <w:ind w:left="0" w:firstLine="640" w:firstLineChars="200"/>
        <w:jc w:val="both"/>
        <w:rPr>
          <w:rFonts w:hint="eastAsia" w:ascii="Times New Roman" w:hAnsi="Times New Roman" w:eastAsia="仿宋_GB2312" w:cs="仿宋_GB2312"/>
          <w:b w:val="0"/>
          <w:bCs w:val="0"/>
          <w:color w:val="auto"/>
          <w:spacing w:val="0"/>
          <w:kern w:val="2"/>
          <w:sz w:val="32"/>
          <w:szCs w:val="32"/>
          <w:lang w:val="en-US" w:eastAsia="zh-CN" w:bidi="ar-SA"/>
        </w:rPr>
      </w:pPr>
      <w:r>
        <w:rPr>
          <w:rFonts w:hint="eastAsia" w:ascii="Times New Roman" w:hAnsi="Times New Roman" w:eastAsia="仿宋_GB2312" w:cs="仿宋_GB2312"/>
          <w:b w:val="0"/>
          <w:bCs w:val="0"/>
          <w:color w:val="auto"/>
          <w:spacing w:val="0"/>
          <w:kern w:val="2"/>
          <w:sz w:val="32"/>
          <w:szCs w:val="32"/>
          <w:lang w:val="en-US" w:eastAsia="zh-CN" w:bidi="ar-SA"/>
        </w:rPr>
        <w:t>（四）本政策措施自发布之日起施行，有效期三年。</w:t>
      </w:r>
    </w:p>
    <w:p w14:paraId="4A2CC502">
      <w:pPr>
        <w:rPr>
          <w:rFonts w:hint="default" w:ascii="方正小标宋简体" w:hAnsi="方正小标宋简体" w:eastAsia="方正小标宋简体" w:cs="方正小标宋简体"/>
          <w:b w:val="0"/>
          <w:bCs w:val="0"/>
          <w:color w:val="auto"/>
          <w:sz w:val="44"/>
          <w:szCs w:val="44"/>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falt">
    <w:altName w:val="Droid Sans Fallback"/>
    <w:panose1 w:val="00000000000000000000"/>
    <w:charset w:val="88"/>
    <w:family w:val="modern"/>
    <w:pitch w:val="default"/>
    <w:sig w:usb0="00000000" w:usb1="00000000" w:usb2="00000010" w:usb3="00000000" w:csb0="00100000" w:csb1="00000000"/>
  </w:font>
  <w:font w:name="Droid Sans Fallback">
    <w:panose1 w:val="020B0502000000000001"/>
    <w:charset w:val="86"/>
    <w:family w:val="auto"/>
    <w:pitch w:val="default"/>
    <w:sig w:usb0="910002FF" w:usb1="2BDFFCFB" w:usb2="00000036" w:usb3="00000000" w:csb0="203F01FF" w:csb1="D7FF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41A33C">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60F4B0C">
                          <w:pPr>
                            <w:pStyle w:val="5"/>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360F4B0C">
                    <w:pPr>
                      <w:pStyle w:val="5"/>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4MGY4NGMwOGQ2MGM5NzEzY2E5OTNjZmU3ODAyYzIifQ=="/>
  </w:docVars>
  <w:rsids>
    <w:rsidRoot w:val="559E261F"/>
    <w:rsid w:val="27A24E6D"/>
    <w:rsid w:val="32E347C3"/>
    <w:rsid w:val="49EA6F53"/>
    <w:rsid w:val="4B522110"/>
    <w:rsid w:val="4FCB6AD3"/>
    <w:rsid w:val="559E261F"/>
    <w:rsid w:val="6F222BF8"/>
    <w:rsid w:val="BDFD94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99"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spacing w:beforeAutospacing="1" w:afterAutospacing="1"/>
      <w:jc w:val="left"/>
      <w:outlineLvl w:val="1"/>
    </w:pPr>
    <w:rPr>
      <w:rFonts w:hint="eastAsia" w:ascii="宋体" w:hAnsi="宋体" w:eastAsia="宋体" w:cs="宋体"/>
      <w:b/>
      <w:kern w:val="0"/>
      <w:sz w:val="36"/>
      <w:szCs w:val="36"/>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hd w:val="clear" w:color="auto" w:fill="FFFFFF"/>
      <w:spacing w:before="360" w:after="660" w:line="240" w:lineRule="atLeast"/>
      <w:jc w:val="right"/>
    </w:pPr>
    <w:rPr>
      <w:rFonts w:ascii="MingLiUfalt" w:eastAsia="MingLiUfalt"/>
      <w:sz w:val="20"/>
      <w:szCs w:val="20"/>
    </w:rPr>
  </w:style>
  <w:style w:type="paragraph" w:styleId="4">
    <w:name w:val="toc 5"/>
    <w:basedOn w:val="1"/>
    <w:next w:val="1"/>
    <w:semiHidden/>
    <w:qFormat/>
    <w:uiPriority w:val="99"/>
    <w:pPr>
      <w:ind w:left="1680" w:leftChars="800"/>
    </w:pPr>
  </w:style>
  <w:style w:type="paragraph" w:styleId="5">
    <w:name w:val="footer"/>
    <w:basedOn w:val="1"/>
    <w:semiHidden/>
    <w:unhideWhenUsed/>
    <w:qFormat/>
    <w:uiPriority w:val="99"/>
    <w:pPr>
      <w:tabs>
        <w:tab w:val="center" w:pos="4153"/>
        <w:tab w:val="right" w:pos="8306"/>
      </w:tabs>
    </w:pPr>
    <w:rPr>
      <w:sz w:val="18"/>
      <w:szCs w:val="18"/>
    </w:rPr>
  </w:style>
  <w:style w:type="paragraph" w:styleId="6">
    <w:name w:val="footnote text"/>
    <w:basedOn w:val="1"/>
    <w:qFormat/>
    <w:uiPriority w:val="0"/>
    <w:pPr>
      <w:snapToGrid w:val="0"/>
    </w:pPr>
    <w:rPr>
      <w:sz w:val="18"/>
    </w:rPr>
  </w:style>
  <w:style w:type="character" w:customStyle="1" w:styleId="9">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4445</Words>
  <Characters>4634</Characters>
  <Lines>0</Lines>
  <Paragraphs>0</Paragraphs>
  <TotalTime>4</TotalTime>
  <ScaleCrop>false</ScaleCrop>
  <LinksUpToDate>false</LinksUpToDate>
  <CharactersWithSpaces>4641</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2025-02-10T13:07:00Z</dcterms:created>
  <dc:creator>玲珑心</dc:creator>
  <cp:lastModifiedBy>kylin</cp:lastModifiedBy>
  <dcterms:modified xsi:type="dcterms:W3CDTF">2026-03-26T11:48:45Z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E758DBD1882B4F9B9DB962853C03BCCF_13</vt:lpwstr>
  </property>
  <property fmtid="{D5CDD505-2E9C-101B-9397-08002B2CF9AE}" pid="4" name="KSOTemplateDocerSaveRecord">
    <vt:lpwstr>eyJoZGlkIjoiZTZmNzA1MmQwZmZkY2FhN2ExNWI0MDBlYzdlODhhMGIifQ==</vt:lpwstr>
  </property>
</Properties>
</file>