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>附件2-3</w:t>
      </w:r>
      <w:r>
        <w:rPr>
          <w:rFonts w:ascii="黑体" w:hAnsi="宋体" w:eastAsia="黑体" w:cs="黑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FZXiaoBiaoSong-B05S" w:hAnsi="FZXiaoBiaoSong-B05S" w:eastAsia="FZXiaoBiaoSong-B05S" w:cs="FZXiaoBiaoSong-B05S"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FZXiaoBiaoSong-B05S" w:hAnsi="FZXiaoBiaoSong-B05S" w:eastAsia="FZXiaoBiaoSong-B05S" w:cs="FZXiaoBiaoSong-B05S"/>
          <w:color w:val="000000"/>
          <w:kern w:val="0"/>
          <w:sz w:val="40"/>
          <w:szCs w:val="40"/>
          <w:lang w:val="en-US" w:eastAsia="zh-CN" w:bidi="ar"/>
        </w:rPr>
        <w:t>宁乡市自然资源局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FZXiaoBiaoSong-B05S" w:hAnsi="FZXiaoBiaoSong-B05S" w:eastAsia="FZXiaoBiaoSong-B05S" w:cs="FZXiaoBiaoSong-B05S"/>
          <w:color w:val="000000"/>
          <w:kern w:val="0"/>
          <w:sz w:val="40"/>
          <w:szCs w:val="40"/>
          <w:lang w:val="en-US" w:eastAsia="zh-CN" w:bidi="ar"/>
        </w:rPr>
        <w:t>部门整体支出绩效自评报告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一、部门概况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（一）部门基本情况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、在职人员情况。纳入本次部门整体支出绩效自评单位包括自然资源局机关本级、宁乡市国土规划技术服务中心、不动产登记中心、国土资源市场管理中心、信息中心、国土资源监察执法大队含规划执法监察大队及玉潭自然资源所。编制数221人，2022年实际在职人数343人（其中行政人员26人，参照公务员法管理人员5人，非参公事业人员312人）。</w:t>
      </w:r>
    </w:p>
    <w:p>
      <w:pPr>
        <w:pStyle w:val="3"/>
        <w:shd w:val="clear" w:color="auto" w:fill="FFFFFF"/>
        <w:rPr>
          <w:rFonts w:hint="eastAsia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、机构设置。宁乡市自然资源局作为市政府的直属行政管理职能部门，为全额拨款行政单位。内设科室13个，分别为：办公室、人事科、财务科、政策法规科、行政审批服务科、用途管制科、权益和开发利用科、耕地保护科、权籍和测绘地理信息科、规划管理科、地矿和生态修复科、征地拆迁管理科、信访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；下设8个二级单位和29个乡(镇、街道)自然资源所。</w:t>
      </w:r>
      <w:r>
        <w:rPr>
          <w:rFonts w:hint="eastAsia"/>
          <w:sz w:val="30"/>
          <w:szCs w:val="30"/>
        </w:rPr>
        <w:t> 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3、主要职能。宁乡市自然资源局负责全市国土资源管理、承担全市城乡规划管理工作、地质灾害应急处置、不动产统一登记及测绘行业管理等。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（二）部门整体支出规模、使用方向和主要内容、涉及范围等。</w:t>
      </w:r>
      <w:r>
        <w:rPr>
          <w:rFonts w:ascii="楷体_GB2312" w:hAnsi="楷体_GB2312" w:eastAsia="楷体_GB2312" w:cs="楷体_GB2312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2022年度，部门整体支出15674.08万元，其中基本支出8009.84万元，基本支出主要用于人员工资福利支出及单位运行维护。项目支出7664.24万元。主要用于单位开展相关项目所需费用支出。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二、部门整体支出管理及使用情况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lang w:val="en-US" w:eastAsia="zh-CN" w:bidi="ar"/>
        </w:rPr>
        <w:t>（一）基本支出</w:t>
      </w:r>
      <w:r>
        <w:rPr>
          <w:rFonts w:ascii="楷体_GB2312" w:hAnsi="楷体_GB2312" w:eastAsia="楷体_GB2312" w:cs="楷体_GB2312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基本支出是保障本单位正常运转、完成日常工作任务的支出，主要包括人员经费支出和日常公用经费支出。本单位2022年基本支出8009.84万元。其中：工资福利支出 7042.44 万元、商品和服务支出 611.51万元、对个人和家庭的补助355.89万元。资金的管理情况：本单位严格执行国家财经法律法规和内部财务财产管理制度，控制和规范管理经费支出，提高资金使用效益。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“三公”经费的使用和管理情况。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1、2022 年 “三公”经费预算情况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本单位2022年“三公”经费预算金额为96万元，其中公务用车运行维护费16万元；公务接待费80万元。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2、2022 年 “三公”经费预算执行情况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本单位2022年“三公”经费决算金额为24.10 万元，其中公务用车运行维护费15.58 万元；公务接待费8.52万元。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本年度“三公”经费较上年下降24.91万元，下降50.83%。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highlight w:val="none"/>
        </w:rPr>
      </w:pPr>
      <w:r>
        <w:rPr>
          <w:rFonts w:ascii="楷体_GB2312" w:hAnsi="楷体_GB2312" w:eastAsia="楷体_GB2312" w:cs="楷体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（二）项目支出</w:t>
      </w:r>
      <w:r>
        <w:rPr>
          <w:rFonts w:ascii="楷体_GB2312" w:hAnsi="楷体_GB2312" w:eastAsia="楷体_GB2312" w:cs="楷体_GB2312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1、项目资金（包括财政资金、自筹资金等）安排落实、总投入等情况分析。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年本单位项目支出:财政资金2022年预算数1917万元。其中一般性项目支出财政资金2022年预算数968万元含不动产业务经费90万元和市民馆运行经费18万；项目化项目支出预算数为949万元(突发地灾应急处理及巡查监管专项215.00万元，土地调查及利用规划管理专项100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存量用地清理及建设用地基准地价专项50万元,规划编制经费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425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万元,不动产存量登记数据整合159万元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），实际项目支出财政拨款5903.55万元，其他资金1760.69万元，资金到位率100%。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2、项目资金（主要指财政资金）实际使用情况分析。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2022年本单位财政资金项目支出决算数为5848.84万元，均为业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务工作项目。一般性项目支出财政资金1123.67万元，含不动产业务经费，及人员退役抚恤等经费支出；项目化项目支出：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城乡规划编制510.38万元，镇村国土空间规划编制316.34万元，突发地灾应急处理及巡查监管专项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214.90万元，土地调查及利用规划管理专项102.69万元，宁乡市设施农用地统一上图入库项目87.1万元，房地一体权籍调查和确权登记项目2331.82万元，城镇基准地价更新技术服务费23.87万元，城镇标定地价和集体建设用地基准地价专项26万元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不动产存量登记数据整合158.96万元，不动产登记信息系统89.56万元，城市总体规划72.15万元，档案整理及数字化服务项目79.53万元，2021年度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国土变更调查42.1万元，耕地后备资源调查项目27.6万元，长宁快线规划项目50.64万元，农村乱占耕地建房问题252.03万元，永久基本农田核实整改和储备区划定项目79万元，地质灾害应急处理资金260.49万元。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3、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项目资金管理情况分析，主要包括管理制度、办法的制订及执行情况。 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Times New Roman" w:hAnsi="Times New Roman" w:eastAsia="黑体" w:cs="宋体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本单位严格按照《关于进一步规范专项业务工作经费管理的通知》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、宁乡市财政局相关文件、宁乡市自然资源局财务管理制度进行项目资金管理。项目支出均有相关的授权审批，资金拨付严格审批程序，三重一大支付严格执行会议决定。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三、部门项目组织实施情况</w:t>
      </w:r>
      <w:r>
        <w:rPr>
          <w:rFonts w:hint="eastAsia"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spacing w:line="600" w:lineRule="exact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（一）项目组织情况分析，主要包括项目招投标、调整、竣工验收等情况。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严格按照政府采购流程进行。在制定项目计划的基础上，对项目需组织财评材料报财评中心审定采购价格。根据政府采购要求采取竞争性谈判（或公开招投标），谈判（招标）结束后选定中标单位。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与中标单位签订服务合同，根据合同进度进行付款。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通过审查后组织项目验收，验收成果按规范要求入库。</w:t>
      </w:r>
    </w:p>
    <w:p>
      <w:pPr>
        <w:numPr>
          <w:ilvl w:val="0"/>
          <w:numId w:val="0"/>
        </w:numPr>
        <w:spacing w:line="60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（二）项目管理情况分析，主要包括项目管理制度建设、日常检查监督管理等情况。</w:t>
      </w: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项目支出均按照有关规章制度和项目实施完成情况进行支付。 并建立相关的管理制度，有专人负责，项目进行时有负责人及时跟踪项目实施情况，并及时提出意见和建议。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四、资产管理情况 </w:t>
      </w:r>
    </w:p>
    <w:p>
      <w:pPr>
        <w:spacing w:line="600" w:lineRule="exact"/>
        <w:ind w:firstLine="627" w:firstLineChars="196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本单位按照国有资产管理工作要求，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完善了资产管理方面相关管理制度，配备专人负责</w:t>
      </w:r>
      <w:r>
        <w:rPr>
          <w:rFonts w:hint="eastAsia" w:ascii="仿宋_GB2312" w:hAnsi="楷体" w:eastAsia="仿宋_GB2312"/>
          <w:kern w:val="0"/>
          <w:sz w:val="32"/>
          <w:szCs w:val="32"/>
        </w:rPr>
        <w:t>国有资产管理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系统管理工作，认真开展国有资产清查工作。国有资产购置、处置等严格按照上级规定、依程序进行。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五、部门整体支出绩效情况 </w:t>
      </w:r>
    </w:p>
    <w:p>
      <w:pPr>
        <w:spacing w:line="600" w:lineRule="exact"/>
        <w:ind w:firstLine="470" w:firstLineChars="196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全面落实中央、省、长沙市和市委市政府自然资源管理工作要求，突出规划引领、强化要素保障、守住生态底线、办好民生实事，为奋力实施“三高四新”战略、全面建设“工业强市、幸福宁乡”作出了积极贡献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根据《部门整体支出绩效评价指标》评分，得分92分（详见附表2-2）。</w:t>
      </w: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宁乡市自然资源局</w:t>
      </w:r>
      <w:r>
        <w:rPr>
          <w:rFonts w:hint="eastAsia" w:ascii="Times New Roman" w:hAnsi="Times New Roman" w:eastAsia="仿宋_GB2312"/>
          <w:sz w:val="32"/>
          <w:szCs w:val="32"/>
        </w:rPr>
        <w:t>工作完成情况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深化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党建引领，忠诚本色更加鲜明。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深刻领会习近平新时代中国特色社会主义思想，深入学习宣传、贯彻落实党的二十大精神。忠诚捍卫“两个确立”，坚决做到“两个维护”，筑牢信仰之基，补足精神之钙，把稳思想之舵，确保在诱惑考验面前立场坚定、在大是大非面前旗帜鲜明。注重党的创新理论武装，组织开展湖南省干部教育培训网络在线学习，党组中心组集中学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次，专题研究党建工作3次，召开专题民主生活会2次。贯彻意识形态“六个纳入”工作要求，认真管好导向、管好阵地、管好队伍，先后专题研究部署意识形态工作3次，坚持每月报送《宁乡市意识形态风险隐患排查情况汇总表》，有效确保意识形态领域安全。坚持工作管到哪里、党风廉政责任就延伸到哪里，深入排查规划审批、土地交易、执法监察、工程项目等领域廉政风险，一体推进不敢腐、不能腐、不想腐体制机制，锻造绝对纯洁可靠的党员干部队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（二）落实依法行政，法治建设更加深入。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坚持把依法办事、依法行政融入到自然资源领域法治宣传、行政审批、行政执法等各项工作中，严格按照《土地管理法》《城乡规划法》《中华人民共和国森林法》等法律法规的要求开展工作，确保行政权力在法律规定的框架内运行，在法治的轨道上实施。成立法治建设领导小组，制定“宁乡市自然资源局重大行政执法决定”的法制审核目录，定期召开党组专题会议研究部署法治政府建设年度重点工作。建立行政调解机构，尽最大力度把矛盾化解在一线、解决在基层，有效调解行政纠纷12件；3个行政诉讼案件上诉人经调解主动撤诉。要求在岗从事行政执法的干职工必须做到“持证上岗、亮证执法”，今年新增48人通过省行政执法资格考试，持证人数达到192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（三）强化顶层设计，发展格局更加清晰。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紧密衔接省、市上位规划，坚持“四精五有”品质宁乡建设要求，对接林业、交通、水利等部门持续优化城乡功能布局、用地结构和要素配置。市级国土空间总体规划编制取得阶段性进展，“三区三线”划定成果获自然资源部批准，划定城镇开发边界135.35平方公里（新增开发边界规模22.9平方公里），城市发展空间得到大幅拓展。初步完成《金洲新城战略规划提升研究》、《金洲新城起步区（含核心区）选址论证》、划定核心区和起步区范围，启动编制《金洲新城核心区城市设计》、《金洲新城起步区控制性详细规划优化提升研究》，启动核心区城市设计19个专项规划编制工作。完成25个乡镇和245个村庄规划初步方案，市、镇、村三级国土空间规划体系初步成型，83个村庄规划已进入方案成果完善阶段，完成省厅村庄规划试点村庄38个，并通过宁乡市人民政府审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（四）做好开发盘活，要素保障更加有力。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严格执行建设用地定额标准，合理核定建设用地规模，提高土地要素配置的效率，确保土地资源的高效利用，真正做到“好项目不缺土地、好产业不缺空间”。共获批建设用地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instrText xml:space="preserve"> </w:instrTex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instrText xml:space="preserve">=SUM(ABOVE)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instrText xml:space="preserve">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6111.82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亩，有效保障了长益常高铁、G354公路等重点工程，星邦重工、万鑫精工等产业项目，党建文化中心、扶贫车间等民生基础设施项目用地，用地报批一次性通过率居长沙市第一，完成十一个批次城乡建设用地增减挂钩指标的确认入库工作，总面积10720.94亩，为财政创收7.49亿元。全年出让土地共计225宗8719.9亩，总价款135.56亿元（其中实质出让6480.6亩，49.7亿元），土地出让总价款和实质出让价款分别同比增长8.87%和12.18%。全面推进落道庵、天井坳和鸟鸣矿区净矿出让工作，鸟鸣矿权已在长沙市公共资源交易平台成功挂牌公告，落道庵矿经省厅党组会研究同意后即可挂牌，全年共收取采矿权出让收益4310.38万元。落实土地“批供合一”全生命周期管理，大力处置批而未供、闲置土地唤醒“沉睡的资产”，批而未供处置7171.92亩，处置率59.87%，长望浏宁排第一，闲置土地处置2698.29亩，处置率64.05%，长望浏宁排第二。节约集约利用土地的经验做法在国家自然资源节约集约示范县（市）创建工作交流推进会上推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（五）严格执法监督，资源底线更加稳固。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深入贯彻习近平总书记关于耕地保护的重要论述，严格落实“党政同责、刚性考核、终身追责、一票否决”责任制度，层层签订耕地保护目标责任书，坚守宁乡市耕地保护111.21万亩底线目标不突破。建立“3+1”级田长制体系，划定2320个田长经“湖南田长”信息管理平台质检成功，完成2021年度变更净流出耕地恢复任务3066.58亩，完成长沙市下达年度恢复任务的123.1%，恢复耕地1.66万亩。坚持例行督察、“月清三地”“双零”行动等重点工作“日汇总、日通报、日调度”，深入推进违占基本农田挖塘养鱼、建房等问题的专项整治，加强与纪委、法院、公安等部门协调联动大力处置存量、新增违法用地。2022年违法用地较2021年同比下降73.2%，违法占耕地面积同比下降84.24%，今年22宗农民占用耕地建房问题已全部整治到位，违法用地用矿实现连续5个月“零新增”，2021年省级例行督察整改率92.87%，居长沙市第一。绿色矿山建设任务14家全部完成，居长沙市第一，其中湘宁矿业是长沙市唯一一家入选国家名录库的矿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（六）夯实民生根基，为民服务更加坚定。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深入推进不动产登记“最多跑一次”改革，携手农商银行、长沙三湘银行推出“不动产抵押登记进银行”便民服务模式，不动产登记平均办结时限压缩到0.97个工作日，全年颁发不动产登记证书19512本，不动产登记证明24496本。牵头拟订新建商品房“交房即交证”改革方案，力求实现“住权”与“产权”同步，翡翠年华、美的院子等八个楼盘实现“交房即交证”，合计出证4000余本。严格落实领导接访制度，一把手亲自抓信访调度，做到群众关心的事事有回音、有着落，全年共受理信访89宗，办结率100％、满意度98.9%；受理和办结12345市民热线336条，办结率100％、满意度99%；受理和调解群众纠纷12起，和解12起，调解成功率100%。加大地灾防治巡查力度，全面排查全市359个地灾隐患点，协助各乡镇（街道）应急避险群众3566余人次，实现连续5年“零伤亡”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六、存在的主要问题 </w:t>
      </w:r>
    </w:p>
    <w:p>
      <w:pPr>
        <w:spacing w:line="600" w:lineRule="exact"/>
        <w:ind w:firstLine="470" w:firstLineChars="196"/>
        <w:jc w:val="left"/>
        <w:rPr>
          <w:rFonts w:hint="default" w:eastAsiaTheme="minorEastAsia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任务量大，守住耕地红线的压力大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用地全生命周期管理有待持续加强。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单位人员配备有限，资产配置方面，因单位专业性较强，存在使用期限相对较长的电脑，或配置不配比，运行缓慢，影响工作效率。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七、改进措施和有关建议 </w:t>
      </w:r>
    </w:p>
    <w:p>
      <w:pPr>
        <w:ind w:firstLine="640" w:firstLineChars="200"/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提高政府采购专业性电脑配置金额标准。充分利用社会技术力量。建议通过招聘专业技术顾问、高级雇员等形式，充分吸引高校及设计单位的高端专业技术人员进行服务。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ZWI1NGM1OTI4MzRjZGQ2ZGY0ZTVlMDkwOGQxNTAifQ=="/>
  </w:docVars>
  <w:rsids>
    <w:rsidRoot w:val="0F6300F3"/>
    <w:rsid w:val="003073D8"/>
    <w:rsid w:val="057D2223"/>
    <w:rsid w:val="07256858"/>
    <w:rsid w:val="09995169"/>
    <w:rsid w:val="09BE7A04"/>
    <w:rsid w:val="0F6300F3"/>
    <w:rsid w:val="163014F7"/>
    <w:rsid w:val="1B831F20"/>
    <w:rsid w:val="28C64943"/>
    <w:rsid w:val="2A4D7DE4"/>
    <w:rsid w:val="3189200F"/>
    <w:rsid w:val="31B06FDA"/>
    <w:rsid w:val="33222DD3"/>
    <w:rsid w:val="38F12169"/>
    <w:rsid w:val="420A6ECD"/>
    <w:rsid w:val="47C74380"/>
    <w:rsid w:val="497E4DA0"/>
    <w:rsid w:val="50CC6C48"/>
    <w:rsid w:val="51B4649A"/>
    <w:rsid w:val="532002C5"/>
    <w:rsid w:val="5D866F76"/>
    <w:rsid w:val="5FC24DE6"/>
    <w:rsid w:val="63255C5D"/>
    <w:rsid w:val="666A2D49"/>
    <w:rsid w:val="679A2514"/>
    <w:rsid w:val="6BF411A8"/>
    <w:rsid w:val="6F7C69B4"/>
    <w:rsid w:val="749A70BA"/>
    <w:rsid w:val="75FF08B1"/>
    <w:rsid w:val="76BA1312"/>
    <w:rsid w:val="77282423"/>
    <w:rsid w:val="776D6A21"/>
    <w:rsid w:val="7BCE0C7A"/>
    <w:rsid w:val="7F052AB1"/>
    <w:rsid w:val="7F1C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paragraph" w:styleId="4">
    <w:name w:val="Body Text First Indent 2"/>
    <w:basedOn w:val="2"/>
    <w:next w:val="1"/>
    <w:qFormat/>
    <w:uiPriority w:val="99"/>
    <w:pPr>
      <w:ind w:firstLine="420" w:firstLineChars="2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4628</Words>
  <Characters>5048</Characters>
  <Lines>0</Lines>
  <Paragraphs>0</Paragraphs>
  <TotalTime>0</TotalTime>
  <ScaleCrop>false</ScaleCrop>
  <LinksUpToDate>false</LinksUpToDate>
  <CharactersWithSpaces>5076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2022-03-11T03:53:00Z</dcterms:created>
  <dc:creator>Administrator</dc:creator>
  <cp:lastModifiedBy>Administrator</cp:lastModifiedBy>
  <dcterms:modified xsi:type="dcterms:W3CDTF">2023-09-15T10:26:18Z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881C69439747492DBA0173D26C0B6FC6</vt:lpwstr>
  </property>
</Properties>
</file>