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57359">
      <w:pPr>
        <w:spacing w:before="231" w:line="389" w:lineRule="auto"/>
        <w:ind w:right="-94" w:rightChars="0" w:firstLine="349" w:firstLineChars="100"/>
        <w:jc w:val="center"/>
        <w:rPr>
          <w:rFonts w:ascii="宋体" w:hAnsi="宋体" w:eastAsia="宋体" w:cs="宋体"/>
          <w:color w:val="auto"/>
          <w:sz w:val="44"/>
          <w:szCs w:val="44"/>
        </w:rPr>
      </w:pPr>
      <w:r>
        <w:rPr>
          <w:rFonts w:hint="eastAsia" w:ascii="宋体" w:hAnsi="宋体" w:eastAsia="宋体" w:cs="宋体"/>
          <w:b/>
          <w:bCs/>
          <w:color w:val="auto"/>
          <w:spacing w:val="-6"/>
          <w:sz w:val="36"/>
          <w:szCs w:val="36"/>
          <w:lang w:eastAsia="zh-CN"/>
        </w:rPr>
        <w:t>宁乡市</w:t>
      </w:r>
      <w:r>
        <w:rPr>
          <w:rFonts w:hint="eastAsia" w:ascii="宋体" w:hAnsi="宋体" w:eastAsia="宋体" w:cs="宋体"/>
          <w:b/>
          <w:bCs/>
          <w:color w:val="auto"/>
          <w:spacing w:val="-6"/>
          <w:sz w:val="36"/>
          <w:szCs w:val="36"/>
          <w:lang w:val="en-US" w:eastAsia="zh-CN"/>
        </w:rPr>
        <w:t>夏铎铺</w:t>
      </w:r>
      <w:r>
        <w:rPr>
          <w:rFonts w:hint="eastAsia" w:ascii="宋体" w:hAnsi="宋体" w:eastAsia="宋体" w:cs="宋体"/>
          <w:b/>
          <w:bCs/>
          <w:color w:val="auto"/>
          <w:spacing w:val="-6"/>
          <w:sz w:val="36"/>
          <w:szCs w:val="36"/>
          <w:lang w:eastAsia="zh-CN"/>
        </w:rPr>
        <w:t>镇</w:t>
      </w:r>
      <w:r>
        <w:rPr>
          <w:rFonts w:ascii="宋体" w:hAnsi="宋体" w:eastAsia="宋体" w:cs="宋体"/>
          <w:b/>
          <w:bCs/>
          <w:color w:val="auto"/>
          <w:spacing w:val="-6"/>
          <w:sz w:val="36"/>
          <w:szCs w:val="36"/>
        </w:rPr>
        <w:t>国土空间总体规划</w:t>
      </w:r>
      <w:r>
        <w:rPr>
          <w:rFonts w:ascii="宋体" w:hAnsi="宋体" w:eastAsia="宋体" w:cs="宋体"/>
          <w:color w:val="auto"/>
          <w:spacing w:val="3"/>
          <w:sz w:val="36"/>
          <w:szCs w:val="36"/>
        </w:rPr>
        <w:t xml:space="preserve"> </w:t>
      </w:r>
      <w:r>
        <w:rPr>
          <w:rFonts w:ascii="宋体" w:hAnsi="宋体" w:eastAsia="宋体" w:cs="宋体"/>
          <w:b/>
          <w:bCs/>
          <w:color w:val="auto"/>
          <w:spacing w:val="-1"/>
          <w:sz w:val="36"/>
          <w:szCs w:val="36"/>
        </w:rPr>
        <w:t>（</w:t>
      </w:r>
      <w:r>
        <w:rPr>
          <w:rFonts w:ascii="Times New Roman" w:hAnsi="Times New Roman" w:eastAsia="Times New Roman" w:cs="Times New Roman"/>
          <w:color w:val="auto"/>
          <w:spacing w:val="-1"/>
          <w:sz w:val="36"/>
          <w:szCs w:val="36"/>
        </w:rPr>
        <w:t xml:space="preserve">2021-2035 </w:t>
      </w:r>
      <w:r>
        <w:rPr>
          <w:rFonts w:ascii="宋体" w:hAnsi="宋体" w:eastAsia="宋体" w:cs="宋体"/>
          <w:b/>
          <w:bCs/>
          <w:color w:val="auto"/>
          <w:spacing w:val="-1"/>
          <w:sz w:val="36"/>
          <w:szCs w:val="36"/>
        </w:rPr>
        <w:t>年）批后公布</w:t>
      </w:r>
    </w:p>
    <w:p w14:paraId="562743BE">
      <w:pPr>
        <w:pStyle w:val="2"/>
        <w:spacing w:before="2" w:line="345" w:lineRule="auto"/>
        <w:ind w:left="41" w:right="86" w:firstLine="612"/>
        <w:jc w:val="both"/>
        <w:rPr>
          <w:rFonts w:hint="eastAsia" w:ascii="仿宋" w:hAnsi="仿宋" w:eastAsia="仿宋" w:cs="仿宋"/>
          <w:color w:val="auto"/>
        </w:rPr>
      </w:pPr>
      <w:r>
        <w:rPr>
          <w:rFonts w:hint="eastAsia" w:ascii="仿宋" w:hAnsi="仿宋" w:eastAsia="仿宋" w:cs="仿宋"/>
          <w:color w:val="auto"/>
          <w:spacing w:val="-10"/>
        </w:rPr>
        <w:t>《</w:t>
      </w:r>
      <w:r>
        <w:rPr>
          <w:rFonts w:hint="eastAsia" w:ascii="仿宋" w:hAnsi="仿宋" w:eastAsia="仿宋" w:cs="仿宋"/>
          <w:b w:val="0"/>
          <w:bCs w:val="0"/>
          <w:color w:val="auto"/>
          <w:spacing w:val="-6"/>
          <w:sz w:val="32"/>
          <w:szCs w:val="32"/>
          <w:lang w:eastAsia="zh-CN"/>
        </w:rPr>
        <w:t>宁乡市</w:t>
      </w:r>
      <w:r>
        <w:rPr>
          <w:rFonts w:hint="eastAsia" w:cs="仿宋"/>
          <w:b w:val="0"/>
          <w:bCs w:val="0"/>
          <w:color w:val="auto"/>
          <w:spacing w:val="-6"/>
          <w:sz w:val="32"/>
          <w:szCs w:val="32"/>
          <w:lang w:eastAsia="zh-CN"/>
        </w:rPr>
        <w:t>夏铎铺镇</w:t>
      </w:r>
      <w:r>
        <w:rPr>
          <w:rFonts w:hint="eastAsia" w:ascii="仿宋" w:hAnsi="仿宋" w:eastAsia="仿宋" w:cs="仿宋"/>
          <w:b w:val="0"/>
          <w:bCs w:val="0"/>
          <w:color w:val="auto"/>
          <w:spacing w:val="-6"/>
          <w:sz w:val="32"/>
          <w:szCs w:val="32"/>
          <w:lang w:eastAsia="zh-CN"/>
        </w:rPr>
        <w:t>国土空间总体规划（2021-2035 年）》 已于 2025年</w:t>
      </w:r>
      <w:r>
        <w:rPr>
          <w:rFonts w:hint="eastAsia" w:ascii="仿宋" w:hAnsi="仿宋" w:eastAsia="仿宋" w:cs="仿宋"/>
          <w:b w:val="0"/>
          <w:bCs w:val="0"/>
          <w:color w:val="auto"/>
          <w:spacing w:val="-6"/>
          <w:sz w:val="32"/>
          <w:szCs w:val="32"/>
          <w:lang w:val="en-US" w:eastAsia="zh-CN"/>
        </w:rPr>
        <w:t>6</w:t>
      </w:r>
      <w:r>
        <w:rPr>
          <w:rFonts w:hint="eastAsia" w:ascii="仿宋" w:hAnsi="仿宋" w:eastAsia="仿宋" w:cs="仿宋"/>
          <w:b w:val="0"/>
          <w:bCs w:val="0"/>
          <w:color w:val="auto"/>
          <w:spacing w:val="-6"/>
          <w:sz w:val="32"/>
          <w:szCs w:val="32"/>
          <w:lang w:eastAsia="zh-CN"/>
        </w:rPr>
        <w:t>月</w:t>
      </w:r>
      <w:r>
        <w:rPr>
          <w:rFonts w:hint="eastAsia" w:ascii="仿宋" w:hAnsi="仿宋" w:eastAsia="仿宋" w:cs="仿宋"/>
          <w:b w:val="0"/>
          <w:bCs w:val="0"/>
          <w:color w:val="auto"/>
          <w:spacing w:val="-6"/>
          <w:sz w:val="32"/>
          <w:szCs w:val="32"/>
          <w:lang w:val="en-US" w:eastAsia="zh-CN"/>
        </w:rPr>
        <w:t>28</w:t>
      </w:r>
      <w:r>
        <w:rPr>
          <w:rFonts w:hint="eastAsia" w:ascii="仿宋" w:hAnsi="仿宋" w:eastAsia="仿宋" w:cs="仿宋"/>
          <w:b w:val="0"/>
          <w:bCs w:val="0"/>
          <w:color w:val="auto"/>
          <w:spacing w:val="-6"/>
          <w:sz w:val="32"/>
          <w:szCs w:val="32"/>
          <w:lang w:eastAsia="zh-CN"/>
        </w:rPr>
        <w:t>日获长沙</w:t>
      </w:r>
      <w:r>
        <w:rPr>
          <w:rFonts w:hint="eastAsia" w:ascii="仿宋" w:hAnsi="仿宋" w:eastAsia="仿宋" w:cs="仿宋"/>
          <w:color w:val="auto"/>
          <w:spacing w:val="-12"/>
          <w:lang w:eastAsia="zh-CN"/>
        </w:rPr>
        <w:t>市</w:t>
      </w:r>
      <w:r>
        <w:rPr>
          <w:rFonts w:hint="eastAsia" w:ascii="仿宋" w:hAnsi="仿宋" w:eastAsia="仿宋" w:cs="仿宋"/>
          <w:color w:val="auto"/>
          <w:spacing w:val="-12"/>
        </w:rPr>
        <w:t>人民政府批准（</w:t>
      </w:r>
      <w:r>
        <w:rPr>
          <w:rFonts w:hint="eastAsia" w:ascii="仿宋" w:hAnsi="仿宋" w:eastAsia="仿宋" w:cs="仿宋"/>
          <w:color w:val="auto"/>
          <w:spacing w:val="-12"/>
          <w:lang w:eastAsia="zh-CN"/>
        </w:rPr>
        <w:t>长</w:t>
      </w:r>
      <w:r>
        <w:rPr>
          <w:rFonts w:hint="eastAsia" w:ascii="仿宋" w:hAnsi="仿宋" w:eastAsia="仿宋" w:cs="仿宋"/>
          <w:color w:val="auto"/>
          <w:spacing w:val="-12"/>
        </w:rPr>
        <w:t>政函〔2025〕</w:t>
      </w:r>
      <w:r>
        <w:rPr>
          <w:rFonts w:hint="eastAsia" w:ascii="仿宋" w:hAnsi="仿宋" w:eastAsia="仿宋" w:cs="仿宋"/>
          <w:color w:val="auto"/>
        </w:rPr>
        <w:t xml:space="preserve"> </w:t>
      </w:r>
      <w:r>
        <w:rPr>
          <w:rFonts w:hint="eastAsia" w:ascii="仿宋" w:hAnsi="仿宋" w:eastAsia="仿宋" w:cs="仿宋"/>
          <w:color w:val="auto"/>
          <w:spacing w:val="-7"/>
          <w:lang w:val="en-US" w:eastAsia="zh-CN"/>
        </w:rPr>
        <w:t>28</w:t>
      </w:r>
      <w:r>
        <w:rPr>
          <w:rFonts w:hint="eastAsia" w:ascii="仿宋" w:hAnsi="仿宋" w:eastAsia="仿宋" w:cs="仿宋"/>
          <w:color w:val="auto"/>
          <w:spacing w:val="27"/>
        </w:rPr>
        <w:t xml:space="preserve"> </w:t>
      </w:r>
      <w:r>
        <w:rPr>
          <w:rFonts w:hint="eastAsia" w:ascii="仿宋" w:hAnsi="仿宋" w:eastAsia="仿宋" w:cs="仿宋"/>
          <w:color w:val="auto"/>
          <w:spacing w:val="-7"/>
        </w:rPr>
        <w:t>号</w:t>
      </w:r>
      <w:r>
        <w:rPr>
          <w:rFonts w:hint="eastAsia" w:ascii="仿宋" w:hAnsi="仿宋" w:eastAsia="仿宋" w:cs="仿宋"/>
          <w:color w:val="auto"/>
          <w:spacing w:val="-10"/>
        </w:rPr>
        <w:t>）</w:t>
      </w:r>
      <w:r>
        <w:rPr>
          <w:rFonts w:hint="eastAsia" w:ascii="仿宋" w:hAnsi="仿宋" w:eastAsia="仿宋" w:cs="仿宋"/>
          <w:color w:val="auto"/>
        </w:rPr>
        <w:t>，</w:t>
      </w:r>
      <w:r>
        <w:rPr>
          <w:rFonts w:hint="eastAsia" w:ascii="仿宋" w:hAnsi="仿宋" w:eastAsia="仿宋" w:cs="仿宋"/>
          <w:color w:val="auto"/>
          <w:spacing w:val="-7"/>
        </w:rPr>
        <w:t>现将主要内容予以公布。</w:t>
      </w:r>
    </w:p>
    <w:p w14:paraId="65E27079">
      <w:pPr>
        <w:spacing w:before="117" w:line="218" w:lineRule="auto"/>
        <w:ind w:left="18" w:firstLine="619" w:firstLineChars="200"/>
        <w:rPr>
          <w:rFonts w:ascii="宋体" w:hAnsi="宋体" w:eastAsia="宋体" w:cs="宋体"/>
          <w:color w:val="auto"/>
          <w:sz w:val="32"/>
          <w:szCs w:val="32"/>
        </w:rPr>
      </w:pPr>
      <w:r>
        <w:rPr>
          <w:rFonts w:ascii="宋体" w:hAnsi="宋体" w:eastAsia="宋体" w:cs="宋体"/>
          <w:b/>
          <w:bCs/>
          <w:color w:val="auto"/>
          <w:spacing w:val="-6"/>
          <w:sz w:val="32"/>
          <w:szCs w:val="32"/>
        </w:rPr>
        <w:t>一、规划范围和规划期限</w:t>
      </w:r>
    </w:p>
    <w:p w14:paraId="6A6FAB6E">
      <w:pPr>
        <w:widowControl w:val="0"/>
        <w:adjustRightInd/>
        <w:snapToGrid/>
        <w:spacing w:line="600" w:lineRule="exact"/>
        <w:ind w:firstLine="640"/>
        <w:jc w:val="both"/>
        <w:rPr>
          <w:rFonts w:ascii="Times New Roman" w:hAnsi="Times New Roman" w:eastAsia="仿宋_GB2312" w:cs="Times New Roman"/>
          <w:color w:val="auto"/>
          <w:kern w:val="2"/>
          <w:sz w:val="32"/>
          <w:szCs w:val="32"/>
        </w:rPr>
      </w:pPr>
      <w:bookmarkStart w:id="0" w:name="_Hlk167982402"/>
      <w:r>
        <w:rPr>
          <w:rFonts w:hint="eastAsia" w:ascii="Times New Roman" w:hAnsi="Times New Roman" w:eastAsia="仿宋_GB2312" w:cs="Times New Roman"/>
          <w:color w:val="auto"/>
          <w:kern w:val="2"/>
          <w:sz w:val="32"/>
          <w:szCs w:val="32"/>
        </w:rPr>
        <w:t>规划范围</w:t>
      </w:r>
      <w:r>
        <w:rPr>
          <w:rFonts w:ascii="Times New Roman" w:hAnsi="Times New Roman" w:eastAsia="仿宋_GB2312" w:cs="Times New Roman"/>
          <w:color w:val="auto"/>
          <w:kern w:val="2"/>
          <w:sz w:val="32"/>
          <w:szCs w:val="32"/>
        </w:rPr>
        <w:t>为夏铎铺镇</w:t>
      </w:r>
      <w:r>
        <w:rPr>
          <w:rFonts w:hint="eastAsia" w:ascii="Times New Roman" w:hAnsi="Times New Roman" w:eastAsia="仿宋_GB2312" w:cs="Times New Roman"/>
          <w:color w:val="auto"/>
          <w:kern w:val="2"/>
          <w:sz w:val="32"/>
          <w:szCs w:val="32"/>
        </w:rPr>
        <w:t>全部国土空间</w:t>
      </w:r>
      <w:r>
        <w:rPr>
          <w:rFonts w:ascii="Times New Roman" w:hAnsi="Times New Roman" w:eastAsia="仿宋_GB2312" w:cs="Times New Roman"/>
          <w:color w:val="auto"/>
          <w:kern w:val="2"/>
          <w:sz w:val="32"/>
          <w:szCs w:val="32"/>
        </w:rPr>
        <w:t>，包括行政辖区内</w:t>
      </w:r>
      <w:r>
        <w:rPr>
          <w:rFonts w:hint="eastAsia" w:ascii="Times New Roman" w:hAnsi="Times New Roman" w:eastAsia="仿宋_GB2312" w:cs="Times New Roman"/>
          <w:color w:val="auto"/>
          <w:kern w:val="2"/>
          <w:sz w:val="32"/>
          <w:szCs w:val="32"/>
        </w:rPr>
        <w:t>3</w:t>
      </w:r>
      <w:r>
        <w:rPr>
          <w:rFonts w:ascii="Times New Roman" w:hAnsi="Times New Roman" w:eastAsia="仿宋_GB2312" w:cs="Times New Roman"/>
          <w:color w:val="auto"/>
          <w:kern w:val="2"/>
          <w:sz w:val="32"/>
          <w:szCs w:val="32"/>
        </w:rPr>
        <w:t>个社区</w:t>
      </w:r>
      <w:r>
        <w:rPr>
          <w:rFonts w:hint="eastAsia" w:ascii="Times New Roman" w:hAnsi="Times New Roman" w:eastAsia="仿宋_GB2312" w:cs="Times New Roman"/>
          <w:color w:val="auto"/>
          <w:kern w:val="2"/>
          <w:sz w:val="32"/>
          <w:szCs w:val="32"/>
        </w:rPr>
        <w:t>和6</w:t>
      </w:r>
      <w:r>
        <w:rPr>
          <w:rFonts w:ascii="Times New Roman" w:hAnsi="Times New Roman" w:eastAsia="仿宋_GB2312" w:cs="Times New Roman"/>
          <w:color w:val="auto"/>
          <w:kern w:val="2"/>
          <w:sz w:val="32"/>
          <w:szCs w:val="32"/>
        </w:rPr>
        <w:t>个</w:t>
      </w:r>
      <w:r>
        <w:rPr>
          <w:rFonts w:hint="eastAsia" w:ascii="Times New Roman" w:hAnsi="Times New Roman" w:eastAsia="仿宋_GB2312" w:cs="Times New Roman"/>
          <w:color w:val="auto"/>
          <w:kern w:val="2"/>
          <w:sz w:val="32"/>
          <w:szCs w:val="32"/>
        </w:rPr>
        <w:t>行政</w:t>
      </w:r>
      <w:r>
        <w:rPr>
          <w:rFonts w:ascii="Times New Roman" w:hAnsi="Times New Roman" w:eastAsia="仿宋_GB2312" w:cs="Times New Roman"/>
          <w:color w:val="auto"/>
          <w:kern w:val="2"/>
          <w:sz w:val="32"/>
          <w:szCs w:val="32"/>
        </w:rPr>
        <w:t>村</w:t>
      </w:r>
      <w:r>
        <w:rPr>
          <w:rFonts w:hint="eastAsia" w:ascii="Times New Roman" w:hAnsi="Times New Roman" w:eastAsia="仿宋_GB2312" w:cs="Times New Roman"/>
          <w:color w:val="auto"/>
          <w:kern w:val="2"/>
          <w:sz w:val="32"/>
          <w:szCs w:val="32"/>
        </w:rPr>
        <w:t>，</w:t>
      </w:r>
      <w:r>
        <w:rPr>
          <w:rFonts w:ascii="Times New Roman" w:hAnsi="Times New Roman" w:eastAsia="仿宋_GB2312" w:cs="Times New Roman"/>
          <w:color w:val="auto"/>
          <w:kern w:val="2"/>
          <w:sz w:val="32"/>
          <w:szCs w:val="32"/>
        </w:rPr>
        <w:t>分别是</w:t>
      </w:r>
      <w:r>
        <w:rPr>
          <w:rFonts w:hint="eastAsia" w:ascii="Times New Roman" w:hAnsi="Times New Roman" w:eastAsia="仿宋_GB2312" w:cs="Times New Roman"/>
          <w:color w:val="auto"/>
          <w:kern w:val="2"/>
          <w:sz w:val="32"/>
          <w:szCs w:val="32"/>
        </w:rPr>
        <w:t>高新社区、夏铎铺社区、凤桥社区、六度庵村、兴旺村、天马新村、长龙新村、香山新村、龙福新村</w:t>
      </w:r>
      <w:bookmarkEnd w:id="0"/>
      <w:r>
        <w:rPr>
          <w:rFonts w:ascii="Times New Roman" w:hAnsi="Times New Roman" w:eastAsia="仿宋_GB2312" w:cs="Times New Roman"/>
          <w:color w:val="auto"/>
          <w:kern w:val="2"/>
          <w:sz w:val="32"/>
          <w:szCs w:val="32"/>
        </w:rPr>
        <w:t>。</w:t>
      </w:r>
      <w:bookmarkStart w:id="1" w:name="_Hlk167982538"/>
      <w:r>
        <w:rPr>
          <w:rFonts w:hint="eastAsia" w:ascii="Times New Roman" w:hAnsi="Times New Roman" w:eastAsia="仿宋_GB2312" w:cs="Times New Roman"/>
          <w:color w:val="auto"/>
          <w:kern w:val="2"/>
          <w:sz w:val="32"/>
          <w:szCs w:val="32"/>
        </w:rPr>
        <w:t>规划</w:t>
      </w:r>
      <w:r>
        <w:rPr>
          <w:rFonts w:ascii="Times New Roman" w:hAnsi="Times New Roman" w:eastAsia="仿宋_GB2312" w:cs="Times New Roman"/>
          <w:color w:val="auto"/>
          <w:kern w:val="2"/>
          <w:sz w:val="32"/>
          <w:szCs w:val="32"/>
        </w:rPr>
        <w:t>包括镇域和镇区两个层次。</w:t>
      </w:r>
      <w:bookmarkEnd w:id="1"/>
    </w:p>
    <w:p w14:paraId="37275B5D">
      <w:pPr>
        <w:pStyle w:val="2"/>
        <w:spacing w:before="208" w:line="346" w:lineRule="auto"/>
        <w:ind w:left="17" w:right="87" w:firstLine="659"/>
        <w:jc w:val="both"/>
        <w:rPr>
          <w:rFonts w:hint="eastAsia" w:ascii="仿宋" w:hAnsi="仿宋" w:eastAsia="仿宋" w:cs="仿宋"/>
          <w:color w:val="auto"/>
          <w:spacing w:val="-2"/>
          <w:lang w:val="en-US" w:eastAsia="zh-CN"/>
        </w:rPr>
      </w:pPr>
      <w:r>
        <w:rPr>
          <w:rFonts w:hint="eastAsia" w:ascii="仿宋" w:hAnsi="仿宋" w:eastAsia="仿宋" w:cs="仿宋"/>
          <w:color w:val="auto"/>
          <w:spacing w:val="-2"/>
          <w:lang w:val="en-US" w:eastAsia="zh-CN"/>
        </w:rPr>
        <w:t>镇域：夏铎铺镇行政辖区范围，总面积102.74平方千米。主要是突出国土空间格局与空间管控、自然资源保护、上位规划落实与详细规划传导及各类设施的统筹安排等内容。镇域北部高新单元及南部方特单元属于宁乡市高新区范围用地，其国土空间规划纳入《宁乡市国土空间总体规划（2021-2035年）》中心城区进行具体规划。</w:t>
      </w:r>
    </w:p>
    <w:p w14:paraId="2FCE4F2A">
      <w:pPr>
        <w:pStyle w:val="2"/>
        <w:spacing w:before="208" w:line="346" w:lineRule="auto"/>
        <w:ind w:left="17" w:right="87" w:firstLine="659"/>
        <w:jc w:val="both"/>
        <w:rPr>
          <w:rFonts w:hint="eastAsia" w:ascii="仿宋" w:hAnsi="仿宋" w:eastAsia="仿宋" w:cs="仿宋"/>
          <w:color w:val="auto"/>
          <w:spacing w:val="-2"/>
          <w:lang w:val="en-US" w:eastAsia="zh-CN"/>
        </w:rPr>
      </w:pPr>
      <w:r>
        <w:rPr>
          <w:rFonts w:hint="eastAsia" w:ascii="仿宋" w:hAnsi="仿宋" w:eastAsia="仿宋" w:cs="仿宋"/>
          <w:color w:val="auto"/>
          <w:spacing w:val="-2"/>
          <w:lang w:val="en-US" w:eastAsia="zh-CN"/>
        </w:rPr>
        <w:t>镇区：镇区总面积329.29公顷。镇区层次主要突出城镇开发建设、用地布局、空间形态引导、要素管控等内容。</w:t>
      </w:r>
    </w:p>
    <w:p w14:paraId="4C0AFB21">
      <w:pPr>
        <w:pStyle w:val="2"/>
        <w:spacing w:before="1" w:line="346" w:lineRule="auto"/>
        <w:ind w:left="21" w:right="87" w:firstLine="655"/>
        <w:rPr>
          <w:rFonts w:hint="eastAsia" w:ascii="仿宋" w:hAnsi="仿宋" w:eastAsia="仿宋" w:cs="仿宋"/>
          <w:color w:val="auto"/>
          <w:lang w:eastAsia="zh-CN"/>
        </w:rPr>
      </w:pPr>
      <w:r>
        <w:rPr>
          <w:rFonts w:hint="eastAsia" w:ascii="仿宋" w:hAnsi="仿宋" w:eastAsia="仿宋" w:cs="仿宋"/>
          <w:color w:val="auto"/>
          <w:spacing w:val="-4"/>
        </w:rPr>
        <w:t>规划期限为2021-2035年，基期年为 2020年，近期至</w:t>
      </w:r>
      <w:r>
        <w:rPr>
          <w:rFonts w:hint="eastAsia" w:ascii="仿宋" w:hAnsi="仿宋" w:eastAsia="仿宋" w:cs="仿宋"/>
          <w:color w:val="auto"/>
        </w:rPr>
        <w:t xml:space="preserve"> </w:t>
      </w:r>
      <w:r>
        <w:rPr>
          <w:rFonts w:hint="eastAsia" w:ascii="仿宋" w:hAnsi="仿宋" w:eastAsia="仿宋" w:cs="仿宋"/>
          <w:color w:val="auto"/>
          <w:spacing w:val="-2"/>
        </w:rPr>
        <w:t>2025 年</w:t>
      </w:r>
      <w:r>
        <w:rPr>
          <w:rFonts w:hint="eastAsia" w:ascii="仿宋" w:hAnsi="仿宋" w:eastAsia="仿宋" w:cs="仿宋"/>
          <w:color w:val="auto"/>
          <w:spacing w:val="-2"/>
          <w:lang w:eastAsia="zh-CN"/>
        </w:rPr>
        <w:t>。</w:t>
      </w:r>
    </w:p>
    <w:p w14:paraId="17C51E32">
      <w:pPr>
        <w:spacing w:before="117" w:line="218" w:lineRule="auto"/>
        <w:ind w:left="18" w:firstLine="619" w:firstLineChars="200"/>
        <w:rPr>
          <w:rFonts w:hint="eastAsia" w:ascii="宋体" w:hAnsi="宋体" w:eastAsia="宋体" w:cs="宋体"/>
          <w:b/>
          <w:bCs/>
          <w:color w:val="auto"/>
          <w:spacing w:val="-6"/>
          <w:sz w:val="32"/>
          <w:szCs w:val="32"/>
          <w:lang w:eastAsia="zh-CN"/>
        </w:rPr>
      </w:pPr>
      <w:r>
        <w:rPr>
          <w:rFonts w:ascii="宋体" w:hAnsi="宋体" w:eastAsia="宋体" w:cs="宋体"/>
          <w:b/>
          <w:bCs/>
          <w:color w:val="auto"/>
          <w:spacing w:val="-6"/>
          <w:sz w:val="32"/>
          <w:szCs w:val="32"/>
        </w:rPr>
        <w:t>二、</w:t>
      </w:r>
      <w:r>
        <w:rPr>
          <w:rFonts w:hint="eastAsia" w:ascii="宋体" w:hAnsi="宋体" w:eastAsia="宋体" w:cs="宋体"/>
          <w:b/>
          <w:bCs/>
          <w:color w:val="auto"/>
          <w:spacing w:val="-6"/>
          <w:sz w:val="32"/>
          <w:szCs w:val="32"/>
          <w:lang w:eastAsia="zh-CN"/>
        </w:rPr>
        <w:t>发展定位目标</w:t>
      </w:r>
    </w:p>
    <w:p w14:paraId="576C5C99">
      <w:pPr>
        <w:pStyle w:val="2"/>
        <w:spacing w:before="153" w:line="231" w:lineRule="auto"/>
        <w:ind w:left="691"/>
        <w:rPr>
          <w:rFonts w:hint="eastAsia" w:ascii="仿宋" w:hAnsi="仿宋" w:eastAsia="仿宋" w:cs="仿宋"/>
          <w:color w:val="auto"/>
        </w:rPr>
      </w:pPr>
      <w:r>
        <w:rPr>
          <w:rFonts w:hint="eastAsia" w:ascii="仿宋" w:hAnsi="仿宋" w:eastAsia="仿宋" w:cs="仿宋"/>
          <w:b w:val="0"/>
          <w:bCs w:val="0"/>
          <w:color w:val="auto"/>
          <w:spacing w:val="-9"/>
        </w:rPr>
        <w:t>1、</w:t>
      </w:r>
      <w:r>
        <w:rPr>
          <w:rFonts w:hint="eastAsia" w:ascii="仿宋" w:hAnsi="仿宋" w:eastAsia="仿宋" w:cs="仿宋"/>
          <w:color w:val="auto"/>
          <w:spacing w:val="-9"/>
        </w:rPr>
        <w:t>总体定位</w:t>
      </w:r>
    </w:p>
    <w:p w14:paraId="43380C2E">
      <w:pPr>
        <w:pStyle w:val="2"/>
        <w:spacing w:before="196" w:line="347" w:lineRule="auto"/>
        <w:ind w:left="21" w:firstLine="643"/>
        <w:rPr>
          <w:rFonts w:hint="eastAsia" w:ascii="仿宋" w:hAnsi="仿宋" w:eastAsia="仿宋" w:cs="仿宋"/>
          <w:color w:val="auto"/>
          <w:spacing w:val="-11"/>
          <w:lang w:eastAsia="zh-CN"/>
        </w:rPr>
      </w:pPr>
      <w:r>
        <w:rPr>
          <w:rFonts w:hint="eastAsia" w:ascii="仿宋" w:hAnsi="仿宋" w:eastAsia="仿宋" w:cs="仿宋"/>
          <w:color w:val="auto"/>
          <w:spacing w:val="-11"/>
          <w:lang w:eastAsia="zh-CN"/>
        </w:rPr>
        <w:t>贯彻落实乡村振兴战略，落实《宁乡</w:t>
      </w:r>
      <w:r>
        <w:rPr>
          <w:rFonts w:hint="eastAsia" w:ascii="仿宋" w:hAnsi="仿宋" w:eastAsia="仿宋" w:cs="仿宋"/>
          <w:color w:val="auto"/>
          <w:spacing w:val="-10"/>
        </w:rPr>
        <w:t>国土空间总体规划（2021-2035 年）》</w:t>
      </w:r>
      <w:r>
        <w:rPr>
          <w:rFonts w:hint="eastAsia" w:ascii="仿宋" w:hAnsi="仿宋" w:eastAsia="仿宋" w:cs="仿宋"/>
          <w:color w:val="auto"/>
          <w:spacing w:val="-10"/>
          <w:lang w:eastAsia="zh-CN"/>
        </w:rPr>
        <w:t>（以下简称“宁乡总规”）确定</w:t>
      </w:r>
      <w:r>
        <w:rPr>
          <w:rFonts w:hint="eastAsia" w:cs="仿宋"/>
          <w:color w:val="auto"/>
          <w:spacing w:val="-10"/>
          <w:lang w:val="en-US" w:eastAsia="zh-CN"/>
        </w:rPr>
        <w:t>的</w:t>
      </w:r>
      <w:r>
        <w:rPr>
          <w:rFonts w:hint="eastAsia" w:ascii="仿宋" w:hAnsi="仿宋" w:eastAsia="仿宋" w:cs="仿宋"/>
          <w:color w:val="auto"/>
          <w:spacing w:val="-10"/>
          <w:lang w:eastAsia="zh-CN"/>
        </w:rPr>
        <w:t>“城市化地区+一般镇+城郊服务型乡镇+都市文旅休闲区”主体功能，确定夏铎铺镇是以现代都市旅游为特色的乡镇。</w:t>
      </w:r>
    </w:p>
    <w:p w14:paraId="53679CB8">
      <w:pPr>
        <w:pStyle w:val="2"/>
        <w:spacing w:before="213" w:line="232" w:lineRule="auto"/>
        <w:ind w:left="660"/>
        <w:rPr>
          <w:rFonts w:hint="eastAsia" w:ascii="仿宋" w:hAnsi="仿宋" w:eastAsia="仿宋" w:cs="仿宋"/>
          <w:color w:val="auto"/>
        </w:rPr>
      </w:pPr>
      <w:r>
        <w:rPr>
          <w:rFonts w:hint="eastAsia" w:ascii="仿宋" w:hAnsi="仿宋" w:eastAsia="仿宋" w:cs="仿宋"/>
          <w:b w:val="0"/>
          <w:bCs w:val="0"/>
          <w:color w:val="auto"/>
          <w:spacing w:val="-5"/>
        </w:rPr>
        <w:t>2、</w:t>
      </w:r>
      <w:r>
        <w:rPr>
          <w:rFonts w:hint="eastAsia" w:ascii="仿宋" w:hAnsi="仿宋" w:eastAsia="仿宋" w:cs="仿宋"/>
          <w:color w:val="auto"/>
          <w:spacing w:val="-5"/>
        </w:rPr>
        <w:t>规划目标</w:t>
      </w:r>
    </w:p>
    <w:p w14:paraId="69ABEE46">
      <w:pPr>
        <w:pStyle w:val="2"/>
        <w:spacing w:before="3" w:line="344" w:lineRule="auto"/>
        <w:ind w:left="28" w:right="4" w:firstLine="639"/>
        <w:jc w:val="both"/>
        <w:rPr>
          <w:rFonts w:hint="eastAsia" w:ascii="仿宋" w:hAnsi="仿宋" w:eastAsia="仿宋" w:cs="仿宋"/>
          <w:color w:val="auto"/>
          <w:spacing w:val="-8"/>
        </w:rPr>
      </w:pPr>
      <w:r>
        <w:rPr>
          <w:rFonts w:hint="eastAsia" w:ascii="仿宋" w:hAnsi="仿宋" w:eastAsia="仿宋" w:cs="仿宋"/>
          <w:color w:val="auto"/>
          <w:spacing w:val="-8"/>
        </w:rPr>
        <w:t>到2035年，将夏铎铺镇建设成为“幸福夏铎、生态夏铎、美丽夏铎、和谐夏铎”，为高质量打造“融城桥头堡、新城核心区、宁乡新客厅”不断注入新活力。</w:t>
      </w:r>
    </w:p>
    <w:p w14:paraId="000C3FCD">
      <w:pPr>
        <w:spacing w:before="117" w:line="218" w:lineRule="auto"/>
        <w:ind w:left="18" w:firstLine="619" w:firstLineChars="200"/>
        <w:rPr>
          <w:rFonts w:hint="eastAsia" w:ascii="宋体" w:hAnsi="宋体" w:eastAsia="宋体" w:cs="宋体"/>
          <w:b/>
          <w:bCs/>
          <w:color w:val="auto"/>
          <w:spacing w:val="-6"/>
          <w:sz w:val="32"/>
          <w:szCs w:val="32"/>
          <w:lang w:eastAsia="zh-CN"/>
        </w:rPr>
      </w:pPr>
      <w:r>
        <w:rPr>
          <w:rFonts w:hint="eastAsia" w:ascii="宋体" w:hAnsi="宋体" w:eastAsia="宋体" w:cs="宋体"/>
          <w:b/>
          <w:bCs/>
          <w:color w:val="auto"/>
          <w:spacing w:val="-6"/>
          <w:sz w:val="32"/>
          <w:szCs w:val="32"/>
          <w:lang w:eastAsia="zh-CN"/>
        </w:rPr>
        <w:t>三、自然资源保护与利用</w:t>
      </w:r>
    </w:p>
    <w:p w14:paraId="0F5BD7B8">
      <w:pPr>
        <w:pStyle w:val="3"/>
        <w:rPr>
          <w:color w:val="auto"/>
        </w:rPr>
      </w:pPr>
    </w:p>
    <w:p w14:paraId="0BCDC5CF">
      <w:pPr>
        <w:pStyle w:val="2"/>
        <w:spacing w:before="12" w:line="231" w:lineRule="auto"/>
        <w:ind w:left="667"/>
        <w:rPr>
          <w:rFonts w:hint="eastAsia" w:ascii="仿宋" w:hAnsi="仿宋" w:eastAsia="仿宋" w:cs="仿宋"/>
          <w:color w:val="auto"/>
        </w:rPr>
      </w:pPr>
      <w:r>
        <w:rPr>
          <w:rFonts w:hint="eastAsia" w:ascii="仿宋" w:hAnsi="仿宋" w:eastAsia="仿宋" w:cs="仿宋"/>
          <w:color w:val="auto"/>
          <w:spacing w:val="-6"/>
          <w:lang w:val="en-US" w:eastAsia="zh-CN"/>
        </w:rPr>
        <w:t>1</w:t>
      </w:r>
      <w:r>
        <w:rPr>
          <w:rFonts w:hint="eastAsia" w:ascii="仿宋" w:hAnsi="仿宋" w:eastAsia="仿宋" w:cs="仿宋"/>
          <w:color w:val="auto"/>
          <w:spacing w:val="-40"/>
        </w:rPr>
        <w:t xml:space="preserve"> </w:t>
      </w:r>
      <w:r>
        <w:rPr>
          <w:rFonts w:hint="eastAsia" w:ascii="仿宋" w:hAnsi="仿宋" w:eastAsia="仿宋" w:cs="仿宋"/>
          <w:color w:val="auto"/>
          <w:spacing w:val="-6"/>
        </w:rPr>
        <w:t>、三条基本控制线</w:t>
      </w:r>
    </w:p>
    <w:p w14:paraId="41AAD216">
      <w:pPr>
        <w:pStyle w:val="2"/>
        <w:spacing w:before="196" w:line="347" w:lineRule="auto"/>
        <w:ind w:left="21" w:firstLine="643"/>
        <w:rPr>
          <w:rFonts w:hint="eastAsia" w:ascii="仿宋" w:hAnsi="仿宋" w:eastAsia="仿宋" w:cs="仿宋"/>
          <w:color w:val="auto"/>
          <w:spacing w:val="-10"/>
          <w:lang w:eastAsia="zh-CN"/>
        </w:rPr>
      </w:pPr>
      <w:r>
        <w:rPr>
          <w:rFonts w:hint="eastAsia" w:ascii="仿宋" w:hAnsi="仿宋" w:eastAsia="仿宋" w:cs="仿宋"/>
          <w:color w:val="auto"/>
          <w:spacing w:val="-10"/>
          <w:lang w:eastAsia="zh-CN"/>
        </w:rPr>
        <w:t>至2035年，全域耕地保有量不低于29987.85亩（1999.19公顷），占全域国土空间的19.46%。全域划定永久基本农田21736.50亩（1449.10公顷），占全域国土总面积的14.10%。主要分布在龙福新村、凤桥社区、长龙新村、天马新村等村。</w:t>
      </w:r>
    </w:p>
    <w:p w14:paraId="4EA03B71">
      <w:pPr>
        <w:pStyle w:val="2"/>
        <w:spacing w:before="196" w:line="347" w:lineRule="auto"/>
        <w:ind w:left="21" w:firstLine="643"/>
        <w:rPr>
          <w:rFonts w:hint="eastAsia" w:ascii="仿宋" w:hAnsi="仿宋" w:eastAsia="仿宋" w:cs="仿宋"/>
          <w:color w:val="auto"/>
          <w:spacing w:val="-10"/>
          <w:lang w:eastAsia="zh-CN"/>
        </w:rPr>
      </w:pPr>
      <w:r>
        <w:rPr>
          <w:rFonts w:hint="eastAsia" w:ascii="仿宋" w:hAnsi="仿宋" w:eastAsia="仿宋" w:cs="仿宋"/>
          <w:color w:val="auto"/>
          <w:spacing w:val="-10"/>
          <w:lang w:eastAsia="zh-CN"/>
        </w:rPr>
        <w:t>全域划定生态保护红线面积1209.92公顷，占全域国土总面积的11.78%。其中，香山国家森林公园1196.24公顷，金洲湖湿地公园13.68公顷。</w:t>
      </w:r>
    </w:p>
    <w:p w14:paraId="224BDA0F">
      <w:pPr>
        <w:pStyle w:val="2"/>
        <w:spacing w:before="196" w:line="347" w:lineRule="auto"/>
        <w:ind w:left="21" w:firstLine="643"/>
        <w:rPr>
          <w:rFonts w:hint="eastAsia" w:ascii="仿宋" w:hAnsi="仿宋" w:eastAsia="仿宋" w:cs="仿宋"/>
          <w:color w:val="auto"/>
          <w:spacing w:val="-10"/>
          <w:lang w:eastAsia="zh-CN"/>
        </w:rPr>
      </w:pPr>
      <w:r>
        <w:rPr>
          <w:rFonts w:hint="eastAsia" w:ascii="仿宋" w:hAnsi="仿宋" w:eastAsia="仿宋" w:cs="仿宋"/>
          <w:color w:val="auto"/>
          <w:spacing w:val="-10"/>
          <w:lang w:eastAsia="zh-CN"/>
        </w:rPr>
        <w:t>全域划定城镇开发边界面积1471.25公顷，占全域国土总面积的14.32%。主要分布在高新区、镇区以及金唐公路两厢区域。</w:t>
      </w:r>
    </w:p>
    <w:p w14:paraId="28CE4E11">
      <w:pPr>
        <w:pStyle w:val="2"/>
        <w:spacing w:before="29" w:line="232" w:lineRule="auto"/>
        <w:ind w:left="659"/>
        <w:rPr>
          <w:rFonts w:hint="eastAsia" w:ascii="仿宋" w:hAnsi="仿宋" w:eastAsia="仿宋" w:cs="仿宋"/>
          <w:color w:val="auto"/>
        </w:rPr>
      </w:pPr>
      <w:r>
        <w:rPr>
          <w:rFonts w:hint="eastAsia" w:ascii="仿宋" w:hAnsi="仿宋" w:eastAsia="仿宋" w:cs="仿宋"/>
          <w:color w:val="auto"/>
          <w:spacing w:val="-5"/>
          <w:lang w:val="en-US" w:eastAsia="zh-CN"/>
        </w:rPr>
        <w:t>2</w:t>
      </w:r>
      <w:r>
        <w:rPr>
          <w:rFonts w:hint="eastAsia" w:ascii="仿宋" w:hAnsi="仿宋" w:eastAsia="仿宋" w:cs="仿宋"/>
          <w:color w:val="auto"/>
          <w:spacing w:val="-5"/>
        </w:rPr>
        <w:t>、国土空间总体格局</w:t>
      </w:r>
    </w:p>
    <w:p w14:paraId="4F8CA592">
      <w:pPr>
        <w:pStyle w:val="2"/>
        <w:spacing w:before="198" w:line="346" w:lineRule="auto"/>
        <w:ind w:left="48" w:right="95" w:firstLine="618"/>
        <w:rPr>
          <w:rFonts w:hint="eastAsia" w:ascii="仿宋" w:hAnsi="仿宋" w:eastAsia="仿宋" w:cs="仿宋"/>
          <w:color w:val="auto"/>
          <w:lang w:eastAsia="zh-CN"/>
        </w:rPr>
      </w:pPr>
      <w:r>
        <w:rPr>
          <w:rFonts w:hint="eastAsia" w:ascii="仿宋" w:hAnsi="仿宋" w:eastAsia="仿宋" w:cs="仿宋"/>
          <w:color w:val="auto"/>
          <w:spacing w:val="-16"/>
        </w:rPr>
        <w:t>构建“一带两轴、一链四片、一核三心”的国土空间开发保护总体格局</w:t>
      </w:r>
      <w:r>
        <w:rPr>
          <w:rFonts w:hint="eastAsia" w:cs="仿宋"/>
          <w:color w:val="auto"/>
          <w:spacing w:val="-16"/>
          <w:lang w:eastAsia="zh-CN"/>
        </w:rPr>
        <w:t>：</w:t>
      </w:r>
    </w:p>
    <w:p w14:paraId="0FF5292D">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一带：官桥河生态景观带。</w:t>
      </w:r>
    </w:p>
    <w:p w14:paraId="6876669A">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两轴：沿319国道科创服务轴和沿岳宁大道山水旅游轴。</w:t>
      </w:r>
    </w:p>
    <w:p w14:paraId="10C9B6CD">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一链：环“楼台山—香山—天马山—将军山”形成的集田园康养、生态游憩、科教文娱、旅居休闲于一体的精品旅游链。</w:t>
      </w:r>
    </w:p>
    <w:p w14:paraId="77C84017">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四片：楼台山田园康养片、香山运动休闲片、天马山健康旅居片、将军山科创体验片。</w:t>
      </w:r>
    </w:p>
    <w:p w14:paraId="0BAB00E3">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一核：镇区创享服务核。</w:t>
      </w:r>
    </w:p>
    <w:p w14:paraId="4B24CD10">
      <w:pPr>
        <w:pStyle w:val="2"/>
        <w:spacing w:before="4" w:line="336" w:lineRule="auto"/>
        <w:ind w:right="93" w:firstLine="664" w:firstLineChars="200"/>
        <w:rPr>
          <w:rFonts w:hint="eastAsia"/>
          <w:color w:val="auto"/>
          <w:spacing w:val="6"/>
          <w:lang w:eastAsia="zh-CN"/>
        </w:rPr>
      </w:pPr>
      <w:r>
        <w:rPr>
          <w:rFonts w:hint="eastAsia"/>
          <w:color w:val="auto"/>
          <w:spacing w:val="6"/>
          <w:lang w:eastAsia="zh-CN"/>
        </w:rPr>
        <w:t>三心：高新社区康居旅游中心、科创产业园智能制造研发中心、华强·方特科创培训转化中心。</w:t>
      </w:r>
    </w:p>
    <w:p w14:paraId="1089BAE1">
      <w:pPr>
        <w:pStyle w:val="2"/>
        <w:spacing w:line="231" w:lineRule="auto"/>
        <w:ind w:firstLine="632" w:firstLineChars="200"/>
        <w:rPr>
          <w:rFonts w:hint="eastAsia" w:ascii="仿宋" w:hAnsi="仿宋" w:eastAsia="仿宋" w:cs="仿宋"/>
          <w:color w:val="auto"/>
        </w:rPr>
      </w:pPr>
      <w:r>
        <w:rPr>
          <w:rFonts w:hint="eastAsia" w:ascii="仿宋" w:hAnsi="仿宋" w:eastAsia="仿宋" w:cs="仿宋"/>
          <w:color w:val="auto"/>
          <w:spacing w:val="-2"/>
          <w:lang w:val="en-US" w:eastAsia="zh-CN"/>
        </w:rPr>
        <w:t>3</w:t>
      </w:r>
      <w:r>
        <w:rPr>
          <w:rFonts w:hint="eastAsia" w:ascii="仿宋" w:hAnsi="仿宋" w:eastAsia="仿宋" w:cs="仿宋"/>
          <w:color w:val="auto"/>
          <w:spacing w:val="-2"/>
        </w:rPr>
        <w:t>、镇村体系规划</w:t>
      </w:r>
    </w:p>
    <w:p w14:paraId="6ACBB459">
      <w:pPr>
        <w:pStyle w:val="2"/>
        <w:spacing w:before="222" w:line="337" w:lineRule="auto"/>
        <w:ind w:left="44" w:right="102" w:firstLine="617"/>
        <w:rPr>
          <w:rFonts w:hint="eastAsia" w:ascii="仿宋" w:hAnsi="仿宋" w:eastAsia="仿宋" w:cs="仿宋"/>
          <w:color w:val="auto"/>
          <w:spacing w:val="6"/>
          <w:lang w:eastAsia="zh-CN"/>
        </w:rPr>
      </w:pPr>
      <w:r>
        <w:rPr>
          <w:rFonts w:hint="eastAsia" w:ascii="仿宋" w:hAnsi="仿宋" w:eastAsia="仿宋" w:cs="仿宋"/>
          <w:color w:val="auto"/>
          <w:spacing w:val="6"/>
          <w:lang w:eastAsia="zh-CN"/>
        </w:rPr>
        <w:t>规划形成“中心镇—中心村—一般村”三个等级的镇村体系。</w:t>
      </w:r>
    </w:p>
    <w:p w14:paraId="11A7EB68">
      <w:pPr>
        <w:pStyle w:val="2"/>
        <w:spacing w:before="222" w:line="337" w:lineRule="auto"/>
        <w:ind w:left="44" w:right="102" w:firstLine="617"/>
        <w:rPr>
          <w:rFonts w:hint="eastAsia" w:ascii="仿宋" w:hAnsi="仿宋" w:eastAsia="仿宋" w:cs="仿宋"/>
          <w:color w:val="auto"/>
          <w:szCs w:val="24"/>
        </w:rPr>
      </w:pPr>
      <w:r>
        <w:rPr>
          <w:rFonts w:hint="eastAsia" w:ascii="仿宋" w:hAnsi="仿宋" w:eastAsia="仿宋" w:cs="仿宋"/>
          <w:color w:val="auto"/>
          <w:szCs w:val="24"/>
        </w:rPr>
        <w:t>中心镇：夏铎铺社区，为镇域政治、文化、教育和服务中心。</w:t>
      </w:r>
    </w:p>
    <w:p w14:paraId="4A8E80CF">
      <w:pPr>
        <w:pStyle w:val="2"/>
        <w:spacing w:before="222" w:line="337" w:lineRule="auto"/>
        <w:ind w:left="44" w:right="102" w:firstLine="617"/>
        <w:rPr>
          <w:rFonts w:hint="eastAsia" w:ascii="仿宋" w:hAnsi="仿宋" w:eastAsia="仿宋" w:cs="仿宋"/>
          <w:color w:val="auto"/>
          <w:szCs w:val="24"/>
        </w:rPr>
      </w:pPr>
      <w:r>
        <w:rPr>
          <w:rFonts w:hint="eastAsia" w:ascii="仿宋" w:hAnsi="仿宋" w:eastAsia="仿宋" w:cs="仿宋"/>
          <w:color w:val="auto"/>
          <w:szCs w:val="24"/>
        </w:rPr>
        <w:t>中心村：六度庵村、香山新村、凤桥社区、高新社区。中心村与宁乡市中心城区及各个一般村交通方便，公共服务设施配套相对完善，为周边村庄提供教育、医疗、体育、卫生、商贸服务、物流运输公共服务设施和基础服务。</w:t>
      </w:r>
    </w:p>
    <w:p w14:paraId="0D92BFF8">
      <w:pPr>
        <w:pStyle w:val="2"/>
        <w:spacing w:before="222" w:line="337" w:lineRule="auto"/>
        <w:ind w:left="44" w:right="102" w:firstLine="617"/>
        <w:rPr>
          <w:rFonts w:hint="eastAsia" w:ascii="仿宋" w:hAnsi="仿宋" w:eastAsia="仿宋" w:cs="仿宋"/>
          <w:color w:val="auto"/>
          <w:spacing w:val="6"/>
          <w:lang w:eastAsia="zh-CN"/>
        </w:rPr>
      </w:pPr>
      <w:r>
        <w:rPr>
          <w:rFonts w:hint="eastAsia" w:ascii="仿宋" w:hAnsi="仿宋" w:eastAsia="仿宋" w:cs="仿宋"/>
          <w:color w:val="auto"/>
          <w:szCs w:val="24"/>
        </w:rPr>
        <w:t>一般村：天马新村、兴旺村、长龙新村、龙福新村。是辖区内为村民提供生活聚集和活动的区域，满足村民日常基本生活需求。</w:t>
      </w:r>
    </w:p>
    <w:p w14:paraId="76A59B87">
      <w:pPr>
        <w:pStyle w:val="2"/>
        <w:numPr>
          <w:ilvl w:val="0"/>
          <w:numId w:val="0"/>
        </w:numPr>
        <w:spacing w:before="1" w:line="233" w:lineRule="auto"/>
        <w:ind w:firstLine="632" w:firstLineChars="200"/>
        <w:rPr>
          <w:rFonts w:hint="eastAsia" w:ascii="仿宋" w:hAnsi="仿宋" w:eastAsia="仿宋" w:cs="仿宋"/>
          <w:color w:val="auto"/>
          <w:spacing w:val="-2"/>
          <w:lang w:eastAsia="zh-CN"/>
        </w:rPr>
      </w:pPr>
      <w:r>
        <w:rPr>
          <w:rFonts w:hint="eastAsia" w:ascii="仿宋" w:hAnsi="仿宋" w:eastAsia="仿宋" w:cs="仿宋"/>
          <w:color w:val="auto"/>
          <w:spacing w:val="-2"/>
          <w:lang w:val="en-US" w:eastAsia="zh-CN"/>
        </w:rPr>
        <w:t>4</w:t>
      </w:r>
      <w:r>
        <w:rPr>
          <w:rFonts w:hint="eastAsia" w:ascii="仿宋" w:hAnsi="仿宋" w:eastAsia="仿宋" w:cs="仿宋"/>
          <w:color w:val="auto"/>
          <w:spacing w:val="-2"/>
        </w:rPr>
        <w:t>、</w:t>
      </w:r>
      <w:r>
        <w:rPr>
          <w:rFonts w:hint="eastAsia" w:ascii="仿宋" w:hAnsi="仿宋" w:eastAsia="仿宋" w:cs="仿宋"/>
          <w:color w:val="auto"/>
          <w:spacing w:val="-2"/>
          <w:lang w:eastAsia="zh-CN"/>
        </w:rPr>
        <w:t>国土空间整治修复</w:t>
      </w:r>
    </w:p>
    <w:p w14:paraId="27B3B9F0">
      <w:pPr>
        <w:pStyle w:val="2"/>
        <w:spacing w:before="4" w:line="336" w:lineRule="auto"/>
        <w:ind w:right="93" w:firstLine="664" w:firstLineChars="200"/>
        <w:rPr>
          <w:rFonts w:hint="eastAsia" w:ascii="仿宋" w:hAnsi="仿宋" w:eastAsia="仿宋" w:cs="仿宋"/>
          <w:color w:val="auto"/>
          <w:spacing w:val="6"/>
          <w:lang w:val="en-US" w:eastAsia="zh-CN"/>
        </w:rPr>
      </w:pPr>
      <w:r>
        <w:rPr>
          <w:rFonts w:hint="eastAsia" w:ascii="仿宋" w:hAnsi="仿宋" w:eastAsia="仿宋" w:cs="仿宋"/>
          <w:color w:val="auto"/>
          <w:spacing w:val="6"/>
          <w:lang w:val="en-US" w:eastAsia="zh-CN"/>
        </w:rPr>
        <w:t>以农村土地全域综合整治为手段，推进村庄规划实施，合理安排各类整治项目，夏铎铺镇凤桥社区作为全域土地综合整治试点村，将其纳入全域土地综合整治重点区域，并加快推进实施。通过凤桥社区全域土地综合整治试点建设形成镇域土地综合整治示范村，形成可复制、可推广的综合整治模式和经验做法，开展国土综合整治工作。</w:t>
      </w:r>
    </w:p>
    <w:p w14:paraId="2C0F32A4">
      <w:pPr>
        <w:spacing w:before="117" w:line="218" w:lineRule="auto"/>
        <w:ind w:left="18" w:firstLine="619" w:firstLineChars="200"/>
        <w:rPr>
          <w:rFonts w:hint="eastAsia" w:ascii="宋体" w:hAnsi="宋体" w:eastAsia="宋体" w:cs="宋体"/>
          <w:b/>
          <w:bCs/>
          <w:color w:val="auto"/>
          <w:spacing w:val="-6"/>
          <w:sz w:val="32"/>
          <w:szCs w:val="32"/>
          <w:lang w:eastAsia="zh-CN"/>
        </w:rPr>
      </w:pPr>
      <w:r>
        <w:rPr>
          <w:rFonts w:hint="eastAsia" w:ascii="宋体" w:hAnsi="宋体" w:eastAsia="宋体" w:cs="宋体"/>
          <w:b/>
          <w:bCs/>
          <w:color w:val="auto"/>
          <w:spacing w:val="-6"/>
          <w:sz w:val="32"/>
          <w:szCs w:val="32"/>
          <w:lang w:val="en-US" w:eastAsia="zh-CN"/>
        </w:rPr>
        <w:t>四、</w:t>
      </w:r>
      <w:r>
        <w:rPr>
          <w:rFonts w:hint="eastAsia" w:ascii="宋体" w:hAnsi="宋体" w:eastAsia="宋体" w:cs="宋体"/>
          <w:b/>
          <w:bCs/>
          <w:color w:val="auto"/>
          <w:spacing w:val="-6"/>
          <w:sz w:val="32"/>
          <w:szCs w:val="32"/>
          <w:lang w:eastAsia="zh-CN"/>
        </w:rPr>
        <w:t>国土空间开发</w:t>
      </w:r>
    </w:p>
    <w:p w14:paraId="0AF7E906">
      <w:pPr>
        <w:pStyle w:val="2"/>
        <w:spacing w:before="208" w:line="234" w:lineRule="auto"/>
        <w:ind w:left="691"/>
        <w:rPr>
          <w:rFonts w:hint="eastAsia" w:ascii="仿宋" w:hAnsi="仿宋" w:eastAsia="仿宋" w:cs="仿宋"/>
          <w:color w:val="auto"/>
          <w:lang w:eastAsia="zh-CN"/>
        </w:rPr>
      </w:pPr>
      <w:r>
        <w:rPr>
          <w:rFonts w:hint="eastAsia" w:ascii="仿宋" w:hAnsi="仿宋" w:eastAsia="仿宋" w:cs="仿宋"/>
          <w:color w:val="auto"/>
          <w:spacing w:val="-10"/>
        </w:rPr>
        <w:t>1</w:t>
      </w:r>
      <w:r>
        <w:rPr>
          <w:rFonts w:hint="eastAsia" w:ascii="仿宋" w:hAnsi="仿宋" w:eastAsia="仿宋" w:cs="仿宋"/>
          <w:color w:val="auto"/>
          <w:spacing w:val="-38"/>
        </w:rPr>
        <w:t xml:space="preserve"> </w:t>
      </w:r>
      <w:r>
        <w:rPr>
          <w:rFonts w:hint="eastAsia" w:ascii="仿宋" w:hAnsi="仿宋" w:eastAsia="仿宋" w:cs="仿宋"/>
          <w:color w:val="auto"/>
          <w:spacing w:val="-10"/>
        </w:rPr>
        <w:t>、</w:t>
      </w:r>
      <w:r>
        <w:rPr>
          <w:rFonts w:hint="eastAsia" w:ascii="仿宋" w:hAnsi="仿宋" w:eastAsia="仿宋" w:cs="仿宋"/>
          <w:color w:val="auto"/>
          <w:spacing w:val="-10"/>
          <w:lang w:eastAsia="zh-CN"/>
        </w:rPr>
        <w:t>建设用地布局</w:t>
      </w:r>
    </w:p>
    <w:p w14:paraId="22E1186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实行城镇建设用地总量控制，规划至2035年，夏铎铺镇城镇建设用地不超过1471.25公顷，较现状增加881.84公顷。规划至2035年，村庄建设用地规模不超过1079.75公顷，人均村庄建设用地指标118.14平方米/人（控制在120平方米/人以内）。</w:t>
      </w:r>
    </w:p>
    <w:p w14:paraId="40AD9946">
      <w:pPr>
        <w:pStyle w:val="2"/>
        <w:numPr>
          <w:ilvl w:val="0"/>
          <w:numId w:val="1"/>
        </w:numPr>
        <w:ind w:firstLine="624" w:firstLineChars="200"/>
        <w:rPr>
          <w:rFonts w:hint="eastAsia" w:ascii="仿宋" w:hAnsi="仿宋" w:eastAsia="仿宋" w:cs="仿宋"/>
          <w:color w:val="auto"/>
          <w:spacing w:val="-4"/>
          <w:lang w:eastAsia="zh-CN"/>
        </w:rPr>
      </w:pPr>
      <w:r>
        <w:rPr>
          <w:rFonts w:hint="eastAsia" w:ascii="仿宋" w:hAnsi="仿宋" w:eastAsia="仿宋" w:cs="仿宋"/>
          <w:color w:val="auto"/>
          <w:spacing w:val="-4"/>
          <w:lang w:eastAsia="zh-CN"/>
        </w:rPr>
        <w:t>产业发展格局</w:t>
      </w:r>
    </w:p>
    <w:p w14:paraId="4D37DCA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夯实产业发展基础，加深一二三产融合发展，规划以“现代农业种植、先进储能材料与新材料、科教文娱、乡村休闲”产业为核心，建设集现代农业、现代农旅、科教文娱、现代服务等功能为一体的乡村振兴示范镇。镇域内形成融城综合服务区、科技创新产业区、科教文娱发展区、田园休闲康养区四大产业特色发展片区。</w:t>
      </w:r>
    </w:p>
    <w:p w14:paraId="5C4DECC7">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融城综合服务区：河谷聚园，城岭共生。以碧桂园山湖城和金洲凤凰谷为核心，依托八曲河、官桥河等河流形成的河谷水街，植入复合功能，布局颐和康寿宁乡颐养中心、“乐活夏铎”文创街区、游学茶馆、毛泽东宁乡展厅等产业支撑项目，结合石仑关红色旅游资源，发展河谷旅居产业，完善片区服务功能。</w:t>
      </w:r>
    </w:p>
    <w:p w14:paraId="5395E01A">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科技创新产业区：产业更新，兼容升级。在夏铎铺机械工业园已有产业基础上，以乡村振兴数字农业基地、科创研发孵化平台建设以及服饰小镇为带动，对企业进行转型与升级，发展先进储能材料、新材料等产业，完善储能产业链，开展锂电池组装、新能源整车的研发生产等，促进产业与城市兼容发展，促进产业功能主动区向城市配套完善的快速发展新区逐渐转型，实现生态和经济效益协同发展。</w:t>
      </w:r>
    </w:p>
    <w:p w14:paraId="5617048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科教文娱发展区：岭间创园，产城交互。以“科研+教育+娱乐”为主要功能，建立研、学、娱互动链接的架构，主要包括南部长沙方特东方神画为主的主题游乐区，北部长沙幼儿师专、长沙卫职院及其附属医院等组成的科研教育区和东部天马山娱乐休闲及其旅游配套服务。</w:t>
      </w:r>
    </w:p>
    <w:p w14:paraId="42BAE131">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田园休闲康养区：面田聚坊，山田两望。依托龙福新村溪水入谷田的风景田肌理、便利的交通和完备的基础设施，以三赢农庄、凤凰山酒店、香山国家森林公园为核心，以山地马拉松赛道为特色，结合龙凤山古围墙、金洲湖国家湿地公园、香山冲水库以及香山旅游服务中心等旅游资源及其旅游配套设施发展农旅休闲产业。</w:t>
      </w:r>
    </w:p>
    <w:p w14:paraId="32E54AC5">
      <w:pPr>
        <w:pStyle w:val="2"/>
        <w:spacing w:before="208" w:line="234" w:lineRule="auto"/>
        <w:ind w:firstLine="600" w:firstLineChars="200"/>
        <w:rPr>
          <w:color w:val="auto"/>
        </w:rPr>
      </w:pPr>
      <w:r>
        <w:rPr>
          <w:rFonts w:hint="eastAsia" w:ascii="Times New Roman" w:hAnsi="Times New Roman" w:eastAsia="宋体" w:cs="Times New Roman"/>
          <w:color w:val="auto"/>
          <w:spacing w:val="-10"/>
          <w:lang w:val="en-US" w:eastAsia="zh-CN"/>
        </w:rPr>
        <w:t>3</w:t>
      </w:r>
      <w:r>
        <w:rPr>
          <w:rFonts w:ascii="Times New Roman" w:hAnsi="Times New Roman" w:eastAsia="Times New Roman" w:cs="Times New Roman"/>
          <w:color w:val="auto"/>
          <w:spacing w:val="-38"/>
        </w:rPr>
        <w:t xml:space="preserve"> </w:t>
      </w:r>
      <w:r>
        <w:rPr>
          <w:color w:val="auto"/>
          <w:spacing w:val="-10"/>
        </w:rPr>
        <w:t>、综合交通规划</w:t>
      </w:r>
    </w:p>
    <w:p w14:paraId="64CD143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加大交通基础设施的建设力度，结合城乡一体化发展和城镇空间拓展要求，对外加强与周边城镇的联系，对内实现各组团间的有效连接，建成网络布局合理、功能完善、等级分明的道路交通网络系统。</w:t>
      </w:r>
    </w:p>
    <w:p w14:paraId="1318D287">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构建“三纵三横”的国省干线路网格局。“三纵”为省道金花公路、G240国道（拓建）、县道X222；“三横”为G319国道、省道S105（岳宁大道）、县道X080。</w:t>
      </w:r>
    </w:p>
    <w:p w14:paraId="6DA270C8">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构建“东进西连”的融城通道。加强夏铎铺东进融入长沙主城、西连宁乡中心城区的交通通道建设。形成“1高2快3主2轨道”共计8条融城通道连接长沙主城。“1高”为长吉高速，“2快”为岳宁大道和G319国道，“3主”为金洲大道、金桥路、沩东路，“2轨道”即规划长沙至宁乡线工程（长宁快线）对接长沙市轨道交通6号线，规划预留岳宁快线对接长沙市轨道交通6号线。</w:t>
      </w:r>
    </w:p>
    <w:p w14:paraId="58AAC5B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镇域快速路及干道交通网络。推进夏铎铺镇西连宁乡中心城区通道建设，形成“2快1公路4主道”共计5条宁乡中心城区对接通道。“2快”为岳宁大道和G319国道，“1公路”为G240国道，“4主道”即金宁东路、金洲大道、金桥路、沩东路。通过镇内4条主道连同金桥路、新阳大道、新天南路、新雅南路构成夏铎铺完整的道路交通网络系统。</w:t>
      </w:r>
    </w:p>
    <w:p w14:paraId="791E992C">
      <w:pPr>
        <w:pStyle w:val="2"/>
        <w:spacing w:line="232" w:lineRule="auto"/>
        <w:ind w:left="660"/>
        <w:rPr>
          <w:rFonts w:hint="eastAsia" w:ascii="仿宋" w:hAnsi="仿宋" w:eastAsia="仿宋" w:cs="仿宋"/>
          <w:color w:val="auto"/>
        </w:rPr>
      </w:pPr>
      <w:r>
        <w:rPr>
          <w:rFonts w:hint="eastAsia" w:ascii="仿宋" w:hAnsi="仿宋" w:eastAsia="仿宋" w:cs="仿宋"/>
          <w:color w:val="auto"/>
          <w:spacing w:val="-4"/>
          <w:lang w:val="en-US" w:eastAsia="zh-CN"/>
        </w:rPr>
        <w:t>4</w:t>
      </w:r>
      <w:r>
        <w:rPr>
          <w:rFonts w:hint="eastAsia" w:ascii="仿宋" w:hAnsi="仿宋" w:eastAsia="仿宋" w:cs="仿宋"/>
          <w:color w:val="auto"/>
          <w:spacing w:val="-4"/>
        </w:rPr>
        <w:t>、公共服务设施规划</w:t>
      </w:r>
    </w:p>
    <w:p w14:paraId="7167B649">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行政：规划有5处行政管理设施用地，分别为镇政府、镇国土所、派出所、公路管理局以及夏铎铺社区公共服务中心，新增香山精密智造小镇一站式政务服务中心行政用地。</w:t>
      </w:r>
    </w:p>
    <w:p w14:paraId="28256B04">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教育：保留夏铎铺中心小学和夏铎铺初级中学，将宁乡市十二中学用地置换成长沙曙光电子信息职业技术学校。</w:t>
      </w:r>
    </w:p>
    <w:p w14:paraId="20147407">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医疗：扩建宁乡市消化专科医院。</w:t>
      </w:r>
    </w:p>
    <w:p w14:paraId="76D0FBEC">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文化：保留夏铎铺镇文化活动中心。</w:t>
      </w:r>
    </w:p>
    <w:p w14:paraId="78005442">
      <w:pPr>
        <w:pStyle w:val="2"/>
        <w:spacing w:before="23" w:line="232" w:lineRule="auto"/>
        <w:ind w:firstLine="620" w:firstLineChars="200"/>
        <w:rPr>
          <w:rFonts w:hint="eastAsia" w:ascii="仿宋" w:hAnsi="仿宋" w:eastAsia="仿宋" w:cs="仿宋"/>
          <w:color w:val="auto"/>
        </w:rPr>
      </w:pPr>
      <w:r>
        <w:rPr>
          <w:rFonts w:hint="eastAsia" w:ascii="仿宋" w:hAnsi="仿宋" w:eastAsia="仿宋" w:cs="仿宋"/>
          <w:color w:val="auto"/>
          <w:spacing w:val="-5"/>
          <w:lang w:val="en-US" w:eastAsia="zh-CN"/>
        </w:rPr>
        <w:t>5</w:t>
      </w:r>
      <w:r>
        <w:rPr>
          <w:rFonts w:hint="eastAsia" w:ascii="仿宋" w:hAnsi="仿宋" w:eastAsia="仿宋" w:cs="仿宋"/>
          <w:color w:val="auto"/>
          <w:spacing w:val="-5"/>
        </w:rPr>
        <w:t>、市政公用设施规划</w:t>
      </w:r>
    </w:p>
    <w:p w14:paraId="64B3D41B">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给水：镇区给水近期由宁乡三水厂（宁乡市区）接入，目标年由南太湖水厂（宁乡市中心城区历经铺街道）接入，通过历经铺加压泵站加压后供水。对于现状管网予以保留，并沿G319国道、金桥西路、新天南路、新阳大道四条主要干道敷设给水主干管。为保证供水的安全可靠性，规划给水管网采用环、枝状相结合的方式进行布置，主干管联成环网、次干管和支管则呈枝状设置。</w:t>
      </w:r>
    </w:p>
    <w:p w14:paraId="7830791C">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排水：分区域将污水汇入金夏路、G319国道及科技大道，经由沿官桥河铺设的DN1200管道汇入官桥河污水提升泵站（高新区），最终送至宁乡东城污水处理厂（金洲镇）集中处理。</w:t>
      </w:r>
    </w:p>
    <w:p w14:paraId="53965A6E">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电力：镇区现状由楚沩220kV变电站供电。在新天北路西侧科创产业园区规划新增2座110kV变电站，分别为北冲湾变电站和将军山变电站。</w:t>
      </w:r>
    </w:p>
    <w:p w14:paraId="36746115">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燃气：由金洲南调压柜接入。</w:t>
      </w:r>
    </w:p>
    <w:p w14:paraId="56B8727B">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环卫：保留镇区现状压缩式垃圾中转站和公共厕所，并扩建有害垃圾暂存点，新增用地面积0.09公顷。</w:t>
      </w:r>
    </w:p>
    <w:p w14:paraId="1692BF79">
      <w:pPr>
        <w:pStyle w:val="2"/>
        <w:spacing w:before="222" w:line="337" w:lineRule="auto"/>
        <w:ind w:left="44" w:right="102" w:firstLine="617"/>
        <w:rPr>
          <w:rFonts w:hint="eastAsia" w:ascii="仿宋" w:hAnsi="仿宋" w:eastAsia="仿宋" w:cs="仿宋"/>
          <w:color w:val="auto"/>
        </w:rPr>
      </w:pPr>
      <w:r>
        <w:rPr>
          <w:rFonts w:hint="eastAsia" w:ascii="仿宋" w:hAnsi="仿宋" w:eastAsia="仿宋" w:cs="仿宋"/>
          <w:color w:val="auto"/>
          <w:spacing w:val="6"/>
          <w:lang w:val="en-US" w:eastAsia="en-US"/>
        </w:rPr>
        <w:t>消防：科创产业园区规划1处消防设施用地——夏铎铺消防队。</w:t>
      </w:r>
    </w:p>
    <w:p w14:paraId="78053EB7">
      <w:pPr>
        <w:pStyle w:val="2"/>
        <w:spacing w:line="219" w:lineRule="auto"/>
        <w:ind w:left="677"/>
        <w:rPr>
          <w:rFonts w:hint="eastAsia" w:ascii="仿宋" w:hAnsi="仿宋" w:eastAsia="仿宋" w:cs="仿宋"/>
          <w:color w:val="auto"/>
        </w:rPr>
      </w:pPr>
      <w:r>
        <w:rPr>
          <w:rFonts w:hint="eastAsia" w:ascii="仿宋" w:hAnsi="仿宋" w:eastAsia="仿宋" w:cs="仿宋"/>
          <w:color w:val="auto"/>
          <w:spacing w:val="-2"/>
          <w:lang w:val="en-US" w:eastAsia="zh-CN"/>
        </w:rPr>
        <w:t>6</w:t>
      </w:r>
      <w:r>
        <w:rPr>
          <w:rFonts w:hint="eastAsia" w:ascii="仿宋" w:hAnsi="仿宋" w:eastAsia="仿宋" w:cs="仿宋"/>
          <w:color w:val="auto"/>
          <w:spacing w:val="-2"/>
        </w:rPr>
        <w:t>、国土空间安全与防灾减灾</w:t>
      </w:r>
    </w:p>
    <w:p w14:paraId="3460ED37">
      <w:pPr>
        <w:pStyle w:val="2"/>
        <w:spacing w:before="222" w:line="337" w:lineRule="auto"/>
        <w:ind w:left="44" w:right="102" w:firstLine="617"/>
        <w:rPr>
          <w:rFonts w:hint="eastAsia" w:ascii="仿宋" w:hAnsi="仿宋" w:eastAsia="仿宋" w:cs="仿宋"/>
          <w:color w:val="auto"/>
          <w:spacing w:val="6"/>
          <w:lang w:val="en-US" w:eastAsia="en-US"/>
        </w:rPr>
      </w:pPr>
      <w:r>
        <w:rPr>
          <w:rFonts w:hint="eastAsia" w:ascii="仿宋" w:hAnsi="仿宋" w:eastAsia="仿宋" w:cs="仿宋"/>
          <w:color w:val="auto"/>
          <w:spacing w:val="6"/>
          <w:lang w:val="en-US" w:eastAsia="en-US"/>
        </w:rPr>
        <w:t>结合上位规划和相关专项规划，建设防洪排涝、水源安 全保障体系，完善农田水利配套等水利基础设施，推动能源供应低碳转型，积极构建低碳化能源体系。加强综合防灾规 划体系建设，明确防洪排涝、抗震、消防、人防、防疫等防 灾设施标准与措施。</w:t>
      </w:r>
    </w:p>
    <w:p w14:paraId="38476ECB">
      <w:pPr>
        <w:pStyle w:val="2"/>
        <w:spacing w:line="219" w:lineRule="auto"/>
        <w:ind w:left="677"/>
        <w:rPr>
          <w:rFonts w:hint="eastAsia" w:ascii="仿宋" w:hAnsi="仿宋" w:eastAsia="仿宋" w:cs="仿宋"/>
          <w:color w:val="auto"/>
          <w:lang w:eastAsia="zh-CN"/>
        </w:rPr>
      </w:pPr>
      <w:r>
        <w:rPr>
          <w:rFonts w:hint="eastAsia" w:ascii="仿宋" w:hAnsi="仿宋" w:eastAsia="仿宋" w:cs="仿宋"/>
          <w:color w:val="auto"/>
          <w:spacing w:val="-2"/>
          <w:lang w:val="en-US" w:eastAsia="zh-CN"/>
        </w:rPr>
        <w:t>7</w:t>
      </w:r>
      <w:r>
        <w:rPr>
          <w:rFonts w:hint="eastAsia" w:ascii="仿宋" w:hAnsi="仿宋" w:eastAsia="仿宋" w:cs="仿宋"/>
          <w:color w:val="auto"/>
          <w:spacing w:val="-2"/>
        </w:rPr>
        <w:t>、</w:t>
      </w:r>
      <w:r>
        <w:rPr>
          <w:rFonts w:hint="eastAsia" w:ascii="仿宋" w:hAnsi="仿宋" w:eastAsia="仿宋" w:cs="仿宋"/>
          <w:color w:val="auto"/>
          <w:spacing w:val="-2"/>
          <w:lang w:eastAsia="zh-CN"/>
        </w:rPr>
        <w:t>历史文化保护与利用</w:t>
      </w:r>
    </w:p>
    <w:p w14:paraId="49A4B6D4">
      <w:pPr>
        <w:pStyle w:val="2"/>
        <w:spacing w:before="222" w:line="337" w:lineRule="auto"/>
        <w:ind w:left="44" w:right="102" w:firstLine="617"/>
        <w:rPr>
          <w:rFonts w:hint="eastAsia" w:ascii="仿宋" w:hAnsi="仿宋" w:eastAsia="仿宋" w:cs="仿宋"/>
          <w:color w:val="C00000"/>
          <w:spacing w:val="6"/>
          <w:lang w:val="en-US" w:eastAsia="zh-CN"/>
        </w:rPr>
      </w:pPr>
      <w:r>
        <w:rPr>
          <w:rFonts w:hint="eastAsia" w:ascii="仿宋" w:hAnsi="仿宋" w:eastAsia="仿宋" w:cs="仿宋"/>
          <w:color w:val="auto"/>
          <w:spacing w:val="6"/>
          <w:lang w:val="en-US" w:eastAsia="zh-CN"/>
        </w:rPr>
        <w:t>以镇域范围内的市级文物保护单位、县级文物保护单位、一般不可移动文物及古树名木群为主要载体，系统整合并保护各类历史文化遗产和历史环境等。严格保护1处市级文物保护单位和8处县级文物保护单位，并严格落实相关文物保护规划及管控要求，划定文物保护范围及建设控制地带，明确保护要求和管理责任</w:t>
      </w:r>
      <w:r>
        <w:rPr>
          <w:rFonts w:hint="eastAsia" w:cs="仿宋"/>
          <w:color w:val="auto"/>
          <w:spacing w:val="6"/>
          <w:lang w:val="en-US" w:eastAsia="zh-CN"/>
        </w:rPr>
        <w:t>。对尚未核定公布为文物保护单位的28处不可移动文物，应及时登记并实施名录管理，设立保护标志并明确相关保护要求。</w:t>
      </w:r>
    </w:p>
    <w:p w14:paraId="027EFAC5">
      <w:pPr>
        <w:spacing w:before="117" w:line="218" w:lineRule="auto"/>
        <w:ind w:left="18" w:firstLine="619" w:firstLineChars="200"/>
        <w:rPr>
          <w:rFonts w:hint="eastAsia" w:ascii="宋体" w:hAnsi="宋体" w:eastAsia="宋体" w:cs="宋体"/>
          <w:b/>
          <w:bCs/>
          <w:color w:val="auto"/>
          <w:spacing w:val="-6"/>
          <w:sz w:val="32"/>
          <w:szCs w:val="32"/>
          <w:lang w:eastAsia="zh-CN"/>
        </w:rPr>
      </w:pPr>
      <w:r>
        <w:rPr>
          <w:rFonts w:hint="eastAsia" w:ascii="宋体" w:hAnsi="宋体" w:eastAsia="宋体" w:cs="宋体"/>
          <w:b/>
          <w:bCs/>
          <w:color w:val="auto"/>
          <w:spacing w:val="-6"/>
          <w:sz w:val="32"/>
          <w:szCs w:val="32"/>
          <w:lang w:val="en-US" w:eastAsia="zh-CN"/>
        </w:rPr>
        <w:t>五、</w:t>
      </w:r>
      <w:r>
        <w:rPr>
          <w:rFonts w:hint="eastAsia" w:ascii="宋体" w:hAnsi="宋体" w:eastAsia="宋体" w:cs="宋体"/>
          <w:b/>
          <w:bCs/>
          <w:color w:val="auto"/>
          <w:spacing w:val="-6"/>
          <w:sz w:val="32"/>
          <w:szCs w:val="32"/>
          <w:lang w:eastAsia="zh-CN"/>
        </w:rPr>
        <w:t>风貌管控要求</w:t>
      </w:r>
    </w:p>
    <w:p w14:paraId="557552DA">
      <w:pPr>
        <w:pStyle w:val="2"/>
        <w:spacing w:before="222" w:line="337" w:lineRule="auto"/>
        <w:ind w:left="44" w:right="102" w:firstLine="617"/>
        <w:rPr>
          <w:rFonts w:hint="eastAsia"/>
          <w:color w:val="auto"/>
          <w:spacing w:val="6"/>
          <w:lang w:val="en-US" w:eastAsia="en-US"/>
        </w:rPr>
      </w:pPr>
      <w:r>
        <w:rPr>
          <w:rFonts w:hint="eastAsia"/>
          <w:color w:val="auto"/>
          <w:spacing w:val="6"/>
          <w:lang w:val="en-US" w:eastAsia="en-US"/>
        </w:rPr>
        <w:t>依托“三水（官桥河、平水河和八曲河）穿城、四山（楼台山、香山、将军山和天马山）环绕”的城乡生态风貌本底， 体现乡村风貌、彰显城镇特色为原则，明确乡镇风貌分区，构建的“一带三区”魅力城乡风貌格局。通过风貌区及特色生态界面的塑造，充分展现夏铎铺镇生态、美丽、和谐的总体风貌，充分发挥镇域丰富的自然山水景观优势，努力塑造山地景色秀美、田园景观多样、河滨景观优美、街景建筑别致、环境清新宜人，富有文化特质和地方特色的小城镇风貌。</w:t>
      </w:r>
    </w:p>
    <w:p w14:paraId="5BE2573A">
      <w:pPr>
        <w:pStyle w:val="2"/>
        <w:spacing w:before="222" w:line="337" w:lineRule="auto"/>
        <w:ind w:left="44" w:right="102" w:firstLine="617"/>
        <w:rPr>
          <w:rFonts w:hint="eastAsia"/>
          <w:color w:val="auto"/>
          <w:spacing w:val="6"/>
          <w:lang w:val="en-US" w:eastAsia="en-US"/>
        </w:rPr>
      </w:pPr>
      <w:r>
        <w:rPr>
          <w:rFonts w:hint="eastAsia"/>
          <w:color w:val="auto"/>
          <w:spacing w:val="6"/>
          <w:lang w:val="en-US" w:eastAsia="en-US"/>
        </w:rPr>
        <w:t>一带：官桥河城乡融合特色生态风貌带。利用官桥河串联高新区、镇区以及南部乡村风貌空间，包括香山新村、兴旺村、夏铎铺社区以及高新社区，各村要突出生态优势，发挥各村特色，认识人工环境与自然环境格局，对于已造成的自然环境破坏问题及时修复，塑造具有特色的城乡融合生态风貌带。</w:t>
      </w:r>
    </w:p>
    <w:p w14:paraId="48D0CF21">
      <w:pPr>
        <w:pStyle w:val="2"/>
        <w:spacing w:before="222" w:line="337" w:lineRule="auto"/>
        <w:ind w:left="44" w:right="102" w:firstLine="617"/>
        <w:rPr>
          <w:rFonts w:hint="eastAsia"/>
          <w:color w:val="auto"/>
          <w:spacing w:val="6"/>
          <w:lang w:val="en-US" w:eastAsia="en-US"/>
        </w:rPr>
      </w:pPr>
      <w:r>
        <w:rPr>
          <w:rFonts w:hint="eastAsia"/>
          <w:color w:val="auto"/>
          <w:spacing w:val="6"/>
          <w:lang w:val="en-US" w:eastAsia="en-US"/>
        </w:rPr>
        <w:t>三区：分别为北部现代城镇风貌区，中部魅力小镇风貌区，东部、南部山水田园风貌区。北部现代城镇风貌区主要指高新社区和科创产业园区，突出生态格局和小城镇肌理共融的现代城镇风貌，注重区域周边开阔舒朗的视廊控制，如对新阳大道、新天南路、金洲大道、金桥东路、岳宁大道、华强大道沿线视线廊道及道路两厢建筑高度和风貌管控提出控制要求，加强碧桂园山湖城及周边区域与城市格局的相互协调，打造丰富多元的现代城镇风貌区。中部魅力小镇风貌区主要指夏铎铺镇区和长沙方特东方神画，建设延续宁乡市中心城区特色风貌、顺应自然山水、独具地域优势的魅力小城镇风貌。注重人工建成环境与自然环境的界面关系，通过镇区风貌有效更新承接宁乡市中心城区城市功能需求，实现城乡一体化发展。东部、南部山水田园风貌区主要包括东部长龙新村、天马新村和南部龙福新村、凤桥社区，区域内村庄应注重塑造依山傍水的乡村景观，发挥山水田园风光优势，保持原生态自然环境，进行山体、森林、植被等自然资源生态保育，对金洲湖湿地公园、香山国家森林公园（含香山冲水库、老虎岩水库和严家冲水库）、平水河田园风光带等富有代表性的独特山水资源进行开发与利用，打造观赏型农田、湿地风光、森林康养等山水田园景观风貌。</w:t>
      </w:r>
    </w:p>
    <w:p w14:paraId="26491B6C">
      <w:pPr>
        <w:pStyle w:val="3"/>
        <w:rPr>
          <w:rFonts w:hint="eastAsia"/>
          <w:lang w:val="en-US" w:eastAsia="en-US"/>
        </w:rPr>
      </w:pPr>
    </w:p>
    <w:p w14:paraId="72215875">
      <w:pPr>
        <w:spacing w:before="117" w:line="218" w:lineRule="auto"/>
        <w:ind w:left="18" w:firstLine="619" w:firstLineChars="200"/>
        <w:rPr>
          <w:rFonts w:hint="eastAsia" w:ascii="宋体" w:hAnsi="宋体" w:eastAsia="宋体" w:cs="宋体"/>
          <w:b/>
          <w:bCs/>
          <w:color w:val="auto"/>
          <w:spacing w:val="-6"/>
          <w:sz w:val="32"/>
          <w:szCs w:val="32"/>
          <w:lang w:eastAsia="zh-CN"/>
        </w:rPr>
      </w:pPr>
      <w:r>
        <w:rPr>
          <w:rFonts w:hint="eastAsia" w:ascii="宋体" w:hAnsi="宋体" w:eastAsia="宋体" w:cs="宋体"/>
          <w:b/>
          <w:bCs/>
          <w:color w:val="auto"/>
          <w:spacing w:val="-6"/>
          <w:sz w:val="32"/>
          <w:szCs w:val="32"/>
          <w:lang w:eastAsia="zh-CN"/>
        </w:rPr>
        <w:t>六、规划传导与实施保障</w:t>
      </w:r>
    </w:p>
    <w:p w14:paraId="5918149C">
      <w:pPr>
        <w:pStyle w:val="2"/>
        <w:spacing w:before="153" w:line="231" w:lineRule="auto"/>
        <w:ind w:left="691"/>
        <w:rPr>
          <w:rFonts w:hint="eastAsia" w:ascii="仿宋" w:hAnsi="仿宋" w:eastAsia="仿宋" w:cs="仿宋"/>
          <w:color w:val="auto"/>
        </w:rPr>
      </w:pPr>
      <w:r>
        <w:rPr>
          <w:rFonts w:hint="eastAsia" w:ascii="仿宋" w:hAnsi="仿宋" w:eastAsia="仿宋" w:cs="仿宋"/>
          <w:color w:val="auto"/>
          <w:spacing w:val="-5"/>
        </w:rPr>
        <w:t>1、详细规划传导</w:t>
      </w:r>
    </w:p>
    <w:p w14:paraId="6D31620F">
      <w:pPr>
        <w:pStyle w:val="2"/>
        <w:spacing w:before="222" w:line="337" w:lineRule="auto"/>
        <w:ind w:left="44" w:right="102" w:firstLine="617"/>
        <w:rPr>
          <w:rFonts w:hint="eastAsia" w:ascii="仿宋" w:hAnsi="仿宋" w:eastAsia="仿宋" w:cs="仿宋"/>
          <w:color w:val="auto"/>
          <w:spacing w:val="-8"/>
        </w:rPr>
      </w:pPr>
      <w:r>
        <w:rPr>
          <w:rFonts w:hint="eastAsia" w:ascii="仿宋" w:hAnsi="仿宋" w:eastAsia="仿宋" w:cs="仿宋"/>
          <w:color w:val="auto"/>
          <w:spacing w:val="6"/>
          <w:lang w:val="en-US" w:eastAsia="en-US"/>
        </w:rPr>
        <w:t>按照全域覆盖，边界闭合原则，全域划分为13个详细规划编制单元。</w:t>
      </w:r>
    </w:p>
    <w:p w14:paraId="2A0D6BEA">
      <w:pPr>
        <w:pStyle w:val="2"/>
        <w:spacing w:before="153" w:line="231" w:lineRule="auto"/>
        <w:ind w:left="691"/>
        <w:rPr>
          <w:rFonts w:hint="eastAsia" w:ascii="仿宋" w:hAnsi="仿宋" w:eastAsia="仿宋" w:cs="仿宋"/>
          <w:color w:val="auto"/>
          <w:spacing w:val="-5"/>
          <w:lang w:val="en-US" w:eastAsia="zh-CN"/>
        </w:rPr>
      </w:pPr>
      <w:r>
        <w:rPr>
          <w:rFonts w:hint="eastAsia" w:ascii="仿宋" w:hAnsi="仿宋" w:eastAsia="仿宋" w:cs="仿宋"/>
          <w:color w:val="auto"/>
          <w:spacing w:val="-5"/>
          <w:lang w:val="en-US" w:eastAsia="en-US"/>
        </w:rPr>
        <w:t>2 、</w:t>
      </w:r>
      <w:r>
        <w:rPr>
          <w:rFonts w:hint="eastAsia" w:ascii="仿宋" w:hAnsi="仿宋" w:eastAsia="仿宋" w:cs="仿宋"/>
          <w:color w:val="auto"/>
          <w:spacing w:val="-5"/>
          <w:lang w:val="en-US" w:eastAsia="zh-CN"/>
        </w:rPr>
        <w:t>村庄规划指引</w:t>
      </w:r>
    </w:p>
    <w:p w14:paraId="2BC980FD">
      <w:pPr>
        <w:pStyle w:val="2"/>
        <w:spacing w:before="222" w:line="337" w:lineRule="auto"/>
        <w:ind w:left="44" w:right="102" w:firstLine="617"/>
        <w:rPr>
          <w:rFonts w:hint="eastAsia" w:ascii="仿宋" w:hAnsi="仿宋" w:eastAsia="仿宋" w:cs="仿宋"/>
          <w:color w:val="auto"/>
          <w:spacing w:val="6"/>
          <w:lang w:val="en-US" w:eastAsia="zh-CN"/>
        </w:rPr>
      </w:pPr>
      <w:r>
        <w:rPr>
          <w:rFonts w:hint="eastAsia" w:ascii="仿宋" w:hAnsi="仿宋" w:eastAsia="仿宋" w:cs="仿宋"/>
          <w:color w:val="auto"/>
          <w:spacing w:val="6"/>
          <w:lang w:val="en-US" w:eastAsia="en-US"/>
        </w:rPr>
        <w:t>结合村镇实际情况和发展目标，落实宁乡市总规要求，确定高新社区、六度庵村、兴旺村和夏铎铺社区位于宁乡市中心城区范围，凤桥社区、天马新村和长龙新村为城郊融合型村庄，香山新村为特色保护类型村庄，龙福新村为集聚提升型村庄。</w:t>
      </w:r>
      <w:bookmarkStart w:id="2" w:name="_Toc136188695"/>
    </w:p>
    <w:bookmarkEnd w:id="2"/>
    <w:p w14:paraId="7B5D8759">
      <w:pPr>
        <w:pStyle w:val="2"/>
        <w:spacing w:before="153" w:line="231" w:lineRule="auto"/>
        <w:ind w:left="691"/>
        <w:rPr>
          <w:rFonts w:hint="eastAsia" w:ascii="仿宋" w:hAnsi="仿宋" w:eastAsia="仿宋" w:cs="仿宋"/>
          <w:color w:val="auto"/>
        </w:rPr>
      </w:pPr>
      <w:r>
        <w:rPr>
          <w:rFonts w:hint="eastAsia" w:ascii="仿宋" w:hAnsi="仿宋" w:eastAsia="仿宋" w:cs="仿宋"/>
          <w:color w:val="auto"/>
          <w:spacing w:val="-5"/>
          <w:lang w:val="en-US" w:eastAsia="zh-CN"/>
        </w:rPr>
        <w:t>3 、规划实施保障</w:t>
      </w:r>
    </w:p>
    <w:p w14:paraId="65915E2D">
      <w:pPr>
        <w:pStyle w:val="2"/>
        <w:spacing w:before="222" w:line="337" w:lineRule="auto"/>
        <w:ind w:left="44" w:right="102" w:firstLine="617"/>
        <w:rPr>
          <w:rFonts w:hint="eastAsia" w:ascii="仿宋" w:hAnsi="仿宋" w:eastAsia="仿宋" w:cs="仿宋"/>
          <w:color w:val="C00000"/>
          <w:spacing w:val="6"/>
          <w:lang w:val="en-US" w:eastAsia="en-US"/>
        </w:rPr>
      </w:pPr>
      <w:r>
        <w:rPr>
          <w:rFonts w:hint="eastAsia" w:ascii="仿宋" w:hAnsi="仿宋" w:eastAsia="仿宋" w:cs="仿宋"/>
          <w:color w:val="auto"/>
          <w:spacing w:val="6"/>
          <w:lang w:val="en-US" w:eastAsia="en-US"/>
        </w:rPr>
        <w:t>基于“五级三类”国土空间规划传导体系，夏铎铺镇国土空间规划自上承接宁乡市国土空间总体规划，向下指引村庄规划和镇区控制性详细规划，明确各级各类规划管控要求和实施措施。依据乡镇级规划数据库建设标准和数据汇交要求，形成乡镇级规划数据库，纳入国土空间基础信息平台和国土空间规划“一张图”实施监督信息系统，定期开展规划实施评估，对比计划进度与实际进度形成综合考核，完善各项监督机制，确保各项工作落到实处。</w:t>
      </w:r>
    </w:p>
    <w:p w14:paraId="00335CFE">
      <w:pPr>
        <w:pStyle w:val="3"/>
        <w:ind w:left="0" w:leftChars="0" w:firstLine="0" w:firstLineChars="0"/>
        <w:rPr>
          <w:rFonts w:hint="eastAsia" w:eastAsia="仿宋"/>
          <w:color w:val="C00000"/>
          <w:lang w:eastAsia="zh-CN"/>
        </w:rPr>
      </w:pPr>
    </w:p>
    <w:p w14:paraId="6BD852C3">
      <w:pPr>
        <w:rPr>
          <w:rFonts w:hint="eastAsia"/>
          <w:color w:val="C00000"/>
          <w:lang w:eastAsia="zh-CN"/>
        </w:rPr>
      </w:pPr>
    </w:p>
    <w:p w14:paraId="6819CB62">
      <w:pPr>
        <w:pStyle w:val="2"/>
        <w:rPr>
          <w:rFonts w:hint="eastAsia"/>
          <w:color w:val="C00000"/>
          <w:lang w:eastAsia="zh-CN"/>
        </w:rPr>
      </w:pPr>
    </w:p>
    <w:p w14:paraId="38493898">
      <w:pPr>
        <w:pStyle w:val="3"/>
        <w:ind w:left="0" w:leftChars="0" w:firstLine="0" w:firstLineChars="0"/>
        <w:rPr>
          <w:rFonts w:hint="eastAsia"/>
          <w:color w:val="C00000"/>
          <w:lang w:eastAsia="zh-CN"/>
        </w:rPr>
      </w:pPr>
    </w:p>
    <w:p w14:paraId="146C21B0">
      <w:pPr>
        <w:rPr>
          <w:rFonts w:hint="eastAsia"/>
          <w:color w:val="C00000"/>
          <w:lang w:eastAsia="zh-CN"/>
        </w:rPr>
      </w:pPr>
    </w:p>
    <w:p w14:paraId="7E317FA0">
      <w:pPr>
        <w:pStyle w:val="2"/>
        <w:rPr>
          <w:rFonts w:hint="eastAsia"/>
          <w:color w:val="C00000"/>
          <w:lang w:eastAsia="zh-CN"/>
        </w:rPr>
      </w:pPr>
    </w:p>
    <w:p w14:paraId="453C4276">
      <w:pPr>
        <w:pStyle w:val="3"/>
        <w:ind w:left="0" w:leftChars="0" w:firstLine="0" w:firstLineChars="0"/>
        <w:rPr>
          <w:rFonts w:hint="eastAsia"/>
          <w:color w:val="C00000"/>
          <w:lang w:eastAsia="zh-CN"/>
        </w:rPr>
      </w:pPr>
    </w:p>
    <w:p w14:paraId="53E9F531">
      <w:pPr>
        <w:rPr>
          <w:rFonts w:hint="eastAsia"/>
          <w:color w:val="C00000"/>
          <w:lang w:eastAsia="zh-CN"/>
        </w:rPr>
      </w:pPr>
    </w:p>
    <w:p w14:paraId="1EECBD5B">
      <w:pPr>
        <w:rPr>
          <w:rFonts w:hint="eastAsia"/>
          <w:color w:val="C00000"/>
          <w:lang w:eastAsia="zh-CN"/>
        </w:rPr>
      </w:pPr>
    </w:p>
    <w:p w14:paraId="2DA47851">
      <w:pPr>
        <w:rPr>
          <w:rFonts w:hint="eastAsia"/>
          <w:color w:val="C00000"/>
          <w:lang w:eastAsia="zh-CN"/>
        </w:rPr>
      </w:pPr>
    </w:p>
    <w:p w14:paraId="26121064">
      <w:pPr>
        <w:rPr>
          <w:rFonts w:hint="eastAsia"/>
          <w:color w:val="C00000"/>
          <w:lang w:eastAsia="zh-CN"/>
        </w:rPr>
      </w:pPr>
    </w:p>
    <w:p w14:paraId="23092F98">
      <w:pPr>
        <w:rPr>
          <w:rFonts w:hint="eastAsia"/>
          <w:color w:val="C00000"/>
          <w:lang w:eastAsia="zh-CN"/>
        </w:rPr>
      </w:pPr>
    </w:p>
    <w:p w14:paraId="71301040">
      <w:pPr>
        <w:rPr>
          <w:rFonts w:hint="eastAsia"/>
          <w:color w:val="C00000"/>
          <w:lang w:eastAsia="zh-CN"/>
        </w:rPr>
      </w:pPr>
    </w:p>
    <w:p w14:paraId="30F076AB">
      <w:pPr>
        <w:rPr>
          <w:rFonts w:hint="eastAsia"/>
          <w:color w:val="C00000"/>
          <w:lang w:eastAsia="zh-CN"/>
        </w:rPr>
      </w:pPr>
    </w:p>
    <w:p w14:paraId="2FD83FF7">
      <w:pPr>
        <w:rPr>
          <w:rFonts w:hint="eastAsia"/>
          <w:color w:val="C00000"/>
          <w:lang w:eastAsia="zh-CN"/>
        </w:rPr>
      </w:pPr>
    </w:p>
    <w:p w14:paraId="5BCE42EF">
      <w:pPr>
        <w:rPr>
          <w:rFonts w:hint="eastAsia"/>
          <w:color w:val="C00000"/>
          <w:lang w:eastAsia="zh-CN"/>
        </w:rPr>
      </w:pPr>
    </w:p>
    <w:p w14:paraId="494F409D">
      <w:pPr>
        <w:rPr>
          <w:rFonts w:hint="eastAsia"/>
          <w:color w:val="C00000"/>
          <w:lang w:eastAsia="zh-CN"/>
        </w:rPr>
      </w:pPr>
    </w:p>
    <w:p w14:paraId="52938574">
      <w:pPr>
        <w:rPr>
          <w:rFonts w:hint="eastAsia"/>
          <w:color w:val="C00000"/>
          <w:lang w:eastAsia="zh-CN"/>
        </w:rPr>
      </w:pPr>
    </w:p>
    <w:p w14:paraId="74319FB6">
      <w:pPr>
        <w:rPr>
          <w:rFonts w:hint="eastAsia"/>
          <w:color w:val="C00000"/>
          <w:lang w:eastAsia="zh-CN"/>
        </w:rPr>
      </w:pPr>
    </w:p>
    <w:p w14:paraId="1032049A">
      <w:pPr>
        <w:rPr>
          <w:rFonts w:hint="eastAsia"/>
          <w:color w:val="C00000"/>
          <w:lang w:eastAsia="zh-CN"/>
        </w:rPr>
      </w:pPr>
    </w:p>
    <w:p w14:paraId="26173019">
      <w:pPr>
        <w:rPr>
          <w:rFonts w:hint="eastAsia"/>
          <w:color w:val="C00000"/>
          <w:lang w:eastAsia="zh-CN"/>
        </w:rPr>
      </w:pPr>
    </w:p>
    <w:p w14:paraId="36A0AA18">
      <w:pPr>
        <w:rPr>
          <w:rFonts w:hint="eastAsia"/>
          <w:color w:val="C00000"/>
          <w:lang w:eastAsia="zh-CN"/>
        </w:rPr>
      </w:pPr>
    </w:p>
    <w:p w14:paraId="73D936A9">
      <w:pPr>
        <w:rPr>
          <w:rFonts w:hint="eastAsia"/>
          <w:color w:val="C00000"/>
          <w:lang w:eastAsia="zh-CN"/>
        </w:rPr>
      </w:pPr>
    </w:p>
    <w:p w14:paraId="739E77CB">
      <w:pPr>
        <w:rPr>
          <w:rFonts w:hint="eastAsia"/>
          <w:color w:val="C00000"/>
          <w:lang w:eastAsia="zh-CN"/>
        </w:rPr>
      </w:pPr>
    </w:p>
    <w:p w14:paraId="203566CF">
      <w:pPr>
        <w:rPr>
          <w:rFonts w:hint="eastAsia"/>
          <w:color w:val="C00000"/>
          <w:lang w:eastAsia="zh-CN"/>
        </w:rPr>
      </w:pPr>
    </w:p>
    <w:p w14:paraId="5D5086E7">
      <w:pPr>
        <w:rPr>
          <w:rFonts w:hint="eastAsia"/>
          <w:color w:val="C00000"/>
          <w:lang w:eastAsia="zh-CN"/>
        </w:rPr>
      </w:pPr>
    </w:p>
    <w:p w14:paraId="2DE3C33E">
      <w:pPr>
        <w:rPr>
          <w:rFonts w:hint="eastAsia"/>
          <w:color w:val="C00000"/>
          <w:lang w:eastAsia="zh-CN"/>
        </w:rPr>
      </w:pPr>
    </w:p>
    <w:p w14:paraId="0BD2712A">
      <w:pPr>
        <w:rPr>
          <w:rFonts w:hint="eastAsia"/>
          <w:color w:val="C00000"/>
          <w:lang w:eastAsia="zh-CN"/>
        </w:rPr>
      </w:pPr>
    </w:p>
    <w:p w14:paraId="01B27764">
      <w:pPr>
        <w:rPr>
          <w:rFonts w:hint="eastAsia"/>
          <w:color w:val="C00000"/>
          <w:lang w:eastAsia="zh-CN"/>
        </w:rPr>
      </w:pPr>
    </w:p>
    <w:p w14:paraId="7A7E2C00">
      <w:pPr>
        <w:rPr>
          <w:rFonts w:hint="eastAsia"/>
          <w:color w:val="C00000"/>
          <w:lang w:eastAsia="zh-CN"/>
        </w:rPr>
      </w:pPr>
    </w:p>
    <w:p w14:paraId="74429E35">
      <w:pPr>
        <w:rPr>
          <w:rFonts w:hint="eastAsia"/>
          <w:color w:val="C00000"/>
          <w:lang w:eastAsia="zh-CN"/>
        </w:rPr>
      </w:pPr>
    </w:p>
    <w:p w14:paraId="07CF4BA8">
      <w:pPr>
        <w:rPr>
          <w:rFonts w:hint="eastAsia"/>
          <w:color w:val="C00000"/>
          <w:lang w:eastAsia="zh-CN"/>
        </w:rPr>
      </w:pPr>
    </w:p>
    <w:p w14:paraId="67CE8BB5">
      <w:pPr>
        <w:rPr>
          <w:rFonts w:hint="eastAsia"/>
          <w:color w:val="C00000"/>
          <w:lang w:eastAsia="zh-CN"/>
        </w:rPr>
      </w:pPr>
    </w:p>
    <w:p w14:paraId="2739DC97">
      <w:pPr>
        <w:rPr>
          <w:rFonts w:hint="eastAsia"/>
          <w:color w:val="C00000"/>
          <w:lang w:eastAsia="zh-CN"/>
        </w:rPr>
      </w:pPr>
    </w:p>
    <w:p w14:paraId="3EE3185A">
      <w:pPr>
        <w:rPr>
          <w:rFonts w:hint="eastAsia"/>
          <w:color w:val="C00000"/>
          <w:lang w:eastAsia="zh-CN"/>
        </w:rPr>
      </w:pPr>
    </w:p>
    <w:p w14:paraId="3F66CA35">
      <w:pPr>
        <w:rPr>
          <w:rFonts w:hint="eastAsia"/>
          <w:color w:val="C00000"/>
          <w:lang w:eastAsia="zh-CN"/>
        </w:rPr>
      </w:pPr>
    </w:p>
    <w:p w14:paraId="6232BD8A">
      <w:pPr>
        <w:rPr>
          <w:rFonts w:hint="eastAsia"/>
          <w:color w:val="C00000"/>
          <w:lang w:eastAsia="zh-CN"/>
        </w:rPr>
      </w:pPr>
    </w:p>
    <w:p w14:paraId="447D09A7">
      <w:pPr>
        <w:rPr>
          <w:rFonts w:hint="eastAsia"/>
          <w:color w:val="C00000"/>
          <w:lang w:eastAsia="zh-CN"/>
        </w:rPr>
      </w:pPr>
    </w:p>
    <w:p w14:paraId="5F426DA3">
      <w:pPr>
        <w:rPr>
          <w:rFonts w:hint="eastAsia"/>
          <w:color w:val="C00000"/>
          <w:lang w:eastAsia="zh-CN"/>
        </w:rPr>
      </w:pPr>
    </w:p>
    <w:p w14:paraId="7C3ED840">
      <w:pPr>
        <w:rPr>
          <w:rFonts w:hint="eastAsia"/>
          <w:color w:val="C00000"/>
          <w:lang w:eastAsia="zh-CN"/>
        </w:rPr>
      </w:pPr>
    </w:p>
    <w:p w14:paraId="0AD305EB">
      <w:pPr>
        <w:rPr>
          <w:rFonts w:hint="eastAsia"/>
          <w:color w:val="C00000"/>
          <w:lang w:eastAsia="zh-CN"/>
        </w:rPr>
      </w:pPr>
    </w:p>
    <w:p w14:paraId="62CD5F10">
      <w:pPr>
        <w:rPr>
          <w:rFonts w:hint="eastAsia"/>
          <w:color w:val="C00000"/>
          <w:lang w:eastAsia="zh-CN"/>
        </w:rPr>
      </w:pPr>
    </w:p>
    <w:p w14:paraId="6842DB7D">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1" name="图片 1" descr="f2eebe9167a68ab839986a81580a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2eebe9167a68ab839986a81580a210"/>
                    <pic:cNvPicPr>
                      <a:picLocks noChangeAspect="1"/>
                    </pic:cNvPicPr>
                  </pic:nvPicPr>
                  <pic:blipFill>
                    <a:blip r:embed="rId6"/>
                    <a:stretch>
                      <a:fillRect/>
                    </a:stretch>
                  </pic:blipFill>
                  <pic:spPr>
                    <a:xfrm>
                      <a:off x="0" y="0"/>
                      <a:ext cx="5450205" cy="3849370"/>
                    </a:xfrm>
                    <a:prstGeom prst="rect">
                      <a:avLst/>
                    </a:prstGeom>
                  </pic:spPr>
                </pic:pic>
              </a:graphicData>
            </a:graphic>
          </wp:inline>
        </w:drawing>
      </w:r>
      <w:bookmarkStart w:id="3" w:name="_GoBack"/>
      <w:bookmarkEnd w:id="3"/>
    </w:p>
    <w:p w14:paraId="1C9C4B29">
      <w:pPr>
        <w:rPr>
          <w:rFonts w:hint="eastAsia"/>
          <w:color w:val="C00000"/>
          <w:lang w:eastAsia="zh-CN"/>
        </w:rPr>
      </w:pPr>
    </w:p>
    <w:p w14:paraId="6CBB183F">
      <w:pPr>
        <w:rPr>
          <w:rFonts w:hint="eastAsia"/>
          <w:color w:val="C00000"/>
          <w:lang w:eastAsia="zh-CN"/>
        </w:rPr>
      </w:pPr>
    </w:p>
    <w:p w14:paraId="1B7D1D60">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2" name="图片 2" descr="b84e18c13d72977540ee12fc60cf6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84e18c13d72977540ee12fc60cf6dd"/>
                    <pic:cNvPicPr>
                      <a:picLocks noChangeAspect="1"/>
                    </pic:cNvPicPr>
                  </pic:nvPicPr>
                  <pic:blipFill>
                    <a:blip r:embed="rId7"/>
                    <a:stretch>
                      <a:fillRect/>
                    </a:stretch>
                  </pic:blipFill>
                  <pic:spPr>
                    <a:xfrm>
                      <a:off x="0" y="0"/>
                      <a:ext cx="5450205" cy="3849370"/>
                    </a:xfrm>
                    <a:prstGeom prst="rect">
                      <a:avLst/>
                    </a:prstGeom>
                  </pic:spPr>
                </pic:pic>
              </a:graphicData>
            </a:graphic>
          </wp:inline>
        </w:drawing>
      </w:r>
    </w:p>
    <w:p w14:paraId="00B35286">
      <w:pPr>
        <w:rPr>
          <w:rFonts w:hint="eastAsia"/>
          <w:color w:val="C00000"/>
          <w:lang w:eastAsia="zh-CN"/>
        </w:rPr>
      </w:pPr>
    </w:p>
    <w:p w14:paraId="1AD34BF6">
      <w:pPr>
        <w:rPr>
          <w:rFonts w:hint="eastAsia"/>
          <w:color w:val="C00000"/>
          <w:lang w:eastAsia="zh-CN"/>
        </w:rPr>
      </w:pPr>
    </w:p>
    <w:p w14:paraId="1FEB42B7">
      <w:pPr>
        <w:rPr>
          <w:rFonts w:hint="eastAsia"/>
          <w:color w:val="C00000"/>
          <w:lang w:eastAsia="zh-CN"/>
        </w:rPr>
      </w:pPr>
    </w:p>
    <w:p w14:paraId="24BF912F">
      <w:pPr>
        <w:rPr>
          <w:rFonts w:hint="eastAsia"/>
          <w:color w:val="C00000"/>
          <w:lang w:eastAsia="zh-CN"/>
        </w:rPr>
      </w:pPr>
    </w:p>
    <w:p w14:paraId="74065726">
      <w:pPr>
        <w:rPr>
          <w:rFonts w:hint="eastAsia"/>
          <w:color w:val="C00000"/>
          <w:lang w:eastAsia="zh-CN"/>
        </w:rPr>
      </w:pPr>
    </w:p>
    <w:p w14:paraId="391B77DE">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3" name="图片 3" descr="abd6be45af1d7835487b3389029a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bd6be45af1d7835487b3389029ab23"/>
                    <pic:cNvPicPr>
                      <a:picLocks noChangeAspect="1"/>
                    </pic:cNvPicPr>
                  </pic:nvPicPr>
                  <pic:blipFill>
                    <a:blip r:embed="rId8"/>
                    <a:stretch>
                      <a:fillRect/>
                    </a:stretch>
                  </pic:blipFill>
                  <pic:spPr>
                    <a:xfrm>
                      <a:off x="0" y="0"/>
                      <a:ext cx="5450205" cy="3849370"/>
                    </a:xfrm>
                    <a:prstGeom prst="rect">
                      <a:avLst/>
                    </a:prstGeom>
                  </pic:spPr>
                </pic:pic>
              </a:graphicData>
            </a:graphic>
          </wp:inline>
        </w:drawing>
      </w:r>
    </w:p>
    <w:p w14:paraId="6C55E6C8">
      <w:pPr>
        <w:rPr>
          <w:rFonts w:hint="eastAsia"/>
          <w:color w:val="C00000"/>
          <w:lang w:eastAsia="zh-CN"/>
        </w:rPr>
      </w:pPr>
    </w:p>
    <w:p w14:paraId="74FA94BC">
      <w:pPr>
        <w:rPr>
          <w:rFonts w:hint="eastAsia"/>
          <w:color w:val="C00000"/>
          <w:lang w:eastAsia="zh-CN"/>
        </w:rPr>
      </w:pPr>
    </w:p>
    <w:p w14:paraId="4D5A1C84">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4" name="图片 4" descr="e42a2801660c7551d0eda2063be34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42a2801660c7551d0eda2063be342c"/>
                    <pic:cNvPicPr>
                      <a:picLocks noChangeAspect="1"/>
                    </pic:cNvPicPr>
                  </pic:nvPicPr>
                  <pic:blipFill>
                    <a:blip r:embed="rId9"/>
                    <a:stretch>
                      <a:fillRect/>
                    </a:stretch>
                  </pic:blipFill>
                  <pic:spPr>
                    <a:xfrm>
                      <a:off x="0" y="0"/>
                      <a:ext cx="5450205" cy="3849370"/>
                    </a:xfrm>
                    <a:prstGeom prst="rect">
                      <a:avLst/>
                    </a:prstGeom>
                  </pic:spPr>
                </pic:pic>
              </a:graphicData>
            </a:graphic>
          </wp:inline>
        </w:drawing>
      </w:r>
    </w:p>
    <w:p w14:paraId="04192038">
      <w:pPr>
        <w:rPr>
          <w:rFonts w:hint="eastAsia"/>
          <w:color w:val="C00000"/>
          <w:lang w:eastAsia="zh-CN"/>
        </w:rPr>
      </w:pPr>
    </w:p>
    <w:p w14:paraId="22B47C52">
      <w:pPr>
        <w:rPr>
          <w:rFonts w:hint="eastAsia"/>
          <w:color w:val="C00000"/>
          <w:lang w:eastAsia="zh-CN"/>
        </w:rPr>
      </w:pPr>
    </w:p>
    <w:p w14:paraId="3AA827FA">
      <w:pPr>
        <w:rPr>
          <w:rFonts w:hint="eastAsia"/>
          <w:color w:val="C00000"/>
          <w:lang w:eastAsia="zh-CN"/>
        </w:rPr>
      </w:pPr>
    </w:p>
    <w:p w14:paraId="0979547F">
      <w:pPr>
        <w:rPr>
          <w:rFonts w:hint="eastAsia"/>
          <w:color w:val="C00000"/>
          <w:lang w:eastAsia="zh-CN"/>
        </w:rPr>
      </w:pPr>
    </w:p>
    <w:p w14:paraId="782C9324">
      <w:pPr>
        <w:rPr>
          <w:rFonts w:hint="eastAsia"/>
          <w:color w:val="C00000"/>
          <w:lang w:eastAsia="zh-CN"/>
        </w:rPr>
      </w:pPr>
    </w:p>
    <w:p w14:paraId="05079AAA">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5" name="图片 5" descr="5b09399efa4e14a79c2ed07372439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b09399efa4e14a79c2ed07372439ca"/>
                    <pic:cNvPicPr>
                      <a:picLocks noChangeAspect="1"/>
                    </pic:cNvPicPr>
                  </pic:nvPicPr>
                  <pic:blipFill>
                    <a:blip r:embed="rId10"/>
                    <a:stretch>
                      <a:fillRect/>
                    </a:stretch>
                  </pic:blipFill>
                  <pic:spPr>
                    <a:xfrm>
                      <a:off x="0" y="0"/>
                      <a:ext cx="5450205" cy="3849370"/>
                    </a:xfrm>
                    <a:prstGeom prst="rect">
                      <a:avLst/>
                    </a:prstGeom>
                  </pic:spPr>
                </pic:pic>
              </a:graphicData>
            </a:graphic>
          </wp:inline>
        </w:drawing>
      </w:r>
    </w:p>
    <w:p w14:paraId="69C2898E">
      <w:pPr>
        <w:rPr>
          <w:rFonts w:hint="eastAsia"/>
          <w:color w:val="C00000"/>
          <w:lang w:eastAsia="zh-CN"/>
        </w:rPr>
      </w:pPr>
    </w:p>
    <w:p w14:paraId="762F2E56">
      <w:pPr>
        <w:rPr>
          <w:rFonts w:hint="eastAsia"/>
          <w:color w:val="C00000"/>
          <w:lang w:eastAsia="zh-CN"/>
        </w:rPr>
      </w:pPr>
    </w:p>
    <w:p w14:paraId="6442358C">
      <w:pPr>
        <w:rPr>
          <w:rFonts w:hint="eastAsia"/>
          <w:color w:val="C00000"/>
          <w:lang w:eastAsia="zh-CN"/>
        </w:rPr>
      </w:pPr>
      <w:r>
        <w:rPr>
          <w:rFonts w:hint="eastAsia"/>
          <w:color w:val="C00000"/>
          <w:lang w:eastAsia="zh-CN"/>
        </w:rPr>
        <w:drawing>
          <wp:inline distT="0" distB="0" distL="114300" distR="114300">
            <wp:extent cx="5450205" cy="3849370"/>
            <wp:effectExtent l="0" t="0" r="5715" b="6350"/>
            <wp:docPr id="6" name="图片 6" descr="eebbf3861c5bf4a6e93ba3e54fdc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ebbf3861c5bf4a6e93ba3e54fdc052"/>
                    <pic:cNvPicPr>
                      <a:picLocks noChangeAspect="1"/>
                    </pic:cNvPicPr>
                  </pic:nvPicPr>
                  <pic:blipFill>
                    <a:blip r:embed="rId11"/>
                    <a:stretch>
                      <a:fillRect/>
                    </a:stretch>
                  </pic:blipFill>
                  <pic:spPr>
                    <a:xfrm>
                      <a:off x="0" y="0"/>
                      <a:ext cx="5450205" cy="3849370"/>
                    </a:xfrm>
                    <a:prstGeom prst="rect">
                      <a:avLst/>
                    </a:prstGeom>
                  </pic:spPr>
                </pic:pic>
              </a:graphicData>
            </a:graphic>
          </wp:inline>
        </w:drawing>
      </w:r>
    </w:p>
    <w:p w14:paraId="57A2D448">
      <w:pPr>
        <w:rPr>
          <w:rFonts w:hint="eastAsia"/>
          <w:color w:val="C00000"/>
          <w:lang w:eastAsia="zh-CN"/>
        </w:rPr>
      </w:pPr>
    </w:p>
    <w:sectPr>
      <w:pgSz w:w="11906" w:h="16838"/>
      <w:pgMar w:top="1440" w:right="1486"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DEBB6B"/>
    <w:multiLevelType w:val="singleLevel"/>
    <w:tmpl w:val="B2DEBB6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1MTkwN2YxNGUzM2QzOGZhNTkyMTM0YTBkYjhmNDgifQ=="/>
  </w:docVars>
  <w:rsids>
    <w:rsidRoot w:val="7B193A1E"/>
    <w:rsid w:val="018956E1"/>
    <w:rsid w:val="02C1531D"/>
    <w:rsid w:val="03A543C5"/>
    <w:rsid w:val="058846C4"/>
    <w:rsid w:val="05B953E0"/>
    <w:rsid w:val="0A9A0B5B"/>
    <w:rsid w:val="16B014D8"/>
    <w:rsid w:val="1D6D1ED1"/>
    <w:rsid w:val="23AF407D"/>
    <w:rsid w:val="27545EB0"/>
    <w:rsid w:val="2D1B54A6"/>
    <w:rsid w:val="31E42251"/>
    <w:rsid w:val="323836A0"/>
    <w:rsid w:val="32494863"/>
    <w:rsid w:val="361A3F9A"/>
    <w:rsid w:val="3AD47C5D"/>
    <w:rsid w:val="3B9C3C56"/>
    <w:rsid w:val="3E044ADB"/>
    <w:rsid w:val="41CA7043"/>
    <w:rsid w:val="50064C7A"/>
    <w:rsid w:val="50D416DF"/>
    <w:rsid w:val="546D21DB"/>
    <w:rsid w:val="5CD01559"/>
    <w:rsid w:val="5EF1038A"/>
    <w:rsid w:val="612B3202"/>
    <w:rsid w:val="627D7A8D"/>
    <w:rsid w:val="63632341"/>
    <w:rsid w:val="6784100F"/>
    <w:rsid w:val="69291C31"/>
    <w:rsid w:val="6C9A411D"/>
    <w:rsid w:val="72DB5049"/>
    <w:rsid w:val="73551AB6"/>
    <w:rsid w:val="77AC6A09"/>
    <w:rsid w:val="78726673"/>
    <w:rsid w:val="7B193A1E"/>
    <w:rsid w:val="7BDF4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2"/>
      <w:szCs w:val="32"/>
      <w:lang w:val="en-US" w:eastAsia="en-US" w:bidi="ar-SA"/>
    </w:rPr>
  </w:style>
  <w:style w:type="paragraph" w:styleId="3">
    <w:name w:val="toc 5"/>
    <w:basedOn w:val="1"/>
    <w:next w:val="1"/>
    <w:unhideWhenUsed/>
    <w:qFormat/>
    <w:uiPriority w:val="39"/>
    <w:pPr>
      <w:ind w:left="1120"/>
      <w:jc w:val="left"/>
    </w:pPr>
    <w:rPr>
      <w:rFonts w:cstheme="minorHAnsi"/>
      <w:sz w:val="18"/>
      <w:szCs w:val="18"/>
    </w:rPr>
  </w:style>
  <w:style w:type="character" w:styleId="6">
    <w:name w:val="FollowedHyperlink"/>
    <w:basedOn w:val="5"/>
    <w:qFormat/>
    <w:uiPriority w:val="0"/>
    <w:rPr>
      <w:color w:val="800080"/>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4827</Words>
  <Characters>5045</Characters>
  <Lines>0</Lines>
  <Paragraphs>0</Paragraphs>
  <TotalTime>31</TotalTime>
  <ScaleCrop>false</ScaleCrop>
  <LinksUpToDate>false</LinksUpToDate>
  <CharactersWithSpaces>5065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2025-07-18T03:45:00Z</dcterms:created>
  <dc:creator>Administrator</dc:creator>
  <cp:lastModifiedBy>巴巴呐能量</cp:lastModifiedBy>
  <cp:lastPrinted>2025-07-18T04:17:00Z</cp:lastPrinted>
  <dcterms:modified xsi:type="dcterms:W3CDTF">2025-07-21T16:02:38Z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94E55FB3F2BA4C4BA103A7C1A122786D_13</vt:lpwstr>
  </property>
  <property fmtid="{D5CDD505-2E9C-101B-9397-08002B2CF9AE}" pid="4" name="KSOTemplateDocerSaveRecord">
    <vt:lpwstr>eyJoZGlkIjoiMGY3ZDRlMjc2ZDUxYzFkNmY1YWYzZTQzYzlhODM5OGUiLCJ1c2VySWQiOiI2NTY3OTMyNjAifQ==</vt:lpwstr>
  </property>
</Properties>
</file>