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55A2A">
      <w:pPr>
        <w:jc w:val="center"/>
        <w:rPr>
          <w:sz w:val="44"/>
          <w:szCs w:val="44"/>
        </w:rPr>
      </w:pPr>
      <w:r>
        <w:rPr>
          <w:rFonts w:hint="eastAsia"/>
          <w:sz w:val="44"/>
          <w:szCs w:val="44"/>
        </w:rPr>
        <w:t>2022年度夏铎铺镇人民政府</w:t>
      </w:r>
    </w:p>
    <w:p w14:paraId="7793FE52">
      <w:pPr>
        <w:jc w:val="center"/>
        <w:rPr>
          <w:sz w:val="44"/>
          <w:szCs w:val="44"/>
        </w:rPr>
      </w:pPr>
      <w:r>
        <w:rPr>
          <w:rFonts w:hint="eastAsia"/>
          <w:sz w:val="44"/>
          <w:szCs w:val="44"/>
        </w:rPr>
        <w:t>部门整体支出绩效自评报告</w:t>
      </w:r>
    </w:p>
    <w:p w14:paraId="0468A570">
      <w:pPr>
        <w:widowControl/>
        <w:shd w:val="clear" w:color="auto" w:fill="FFFFFF"/>
        <w:spacing w:before="204" w:line="560" w:lineRule="exact"/>
        <w:ind w:firstLine="600" w:firstLineChars="200"/>
        <w:jc w:val="left"/>
        <w:rPr>
          <w:rFonts w:ascii="黑体" w:hAnsi="黑体" w:eastAsia="黑体" w:cs="宋体"/>
          <w:color w:val="333333"/>
          <w:kern w:val="0"/>
          <w:sz w:val="30"/>
          <w:szCs w:val="30"/>
        </w:rPr>
      </w:pPr>
      <w:r>
        <w:rPr>
          <w:rFonts w:hint="eastAsia" w:ascii="黑体" w:hAnsi="黑体" w:eastAsia="黑体" w:cs="宋体"/>
          <w:color w:val="010101"/>
          <w:kern w:val="0"/>
          <w:sz w:val="30"/>
          <w:szCs w:val="30"/>
        </w:rPr>
        <w:t>一、部门概况</w:t>
      </w:r>
    </w:p>
    <w:p w14:paraId="39630842">
      <w:pPr>
        <w:widowControl/>
        <w:shd w:val="clear" w:color="auto" w:fill="FFFFFF"/>
        <w:spacing w:before="204" w:line="560" w:lineRule="exact"/>
        <w:jc w:val="left"/>
        <w:rPr>
          <w:rFonts w:ascii="仿宋" w:hAnsi="仿宋" w:eastAsia="仿宋" w:cs="宋体"/>
          <w:b/>
          <w:color w:val="333333"/>
          <w:kern w:val="0"/>
          <w:sz w:val="30"/>
          <w:szCs w:val="30"/>
        </w:rPr>
      </w:pPr>
      <w:r>
        <w:rPr>
          <w:rFonts w:hint="eastAsia" w:ascii="仿宋" w:hAnsi="仿宋" w:eastAsia="仿宋" w:cs="宋体"/>
          <w:b/>
          <w:color w:val="010101"/>
          <w:kern w:val="0"/>
          <w:sz w:val="30"/>
          <w:szCs w:val="30"/>
        </w:rPr>
        <w:t>　（一）部门基本情况</w:t>
      </w:r>
    </w:p>
    <w:p w14:paraId="0C24E664">
      <w:pPr>
        <w:widowControl/>
        <w:shd w:val="clear" w:color="auto" w:fill="FFFFFF"/>
        <w:spacing w:before="204" w:line="560" w:lineRule="exact"/>
        <w:ind w:firstLine="750" w:firstLineChars="250"/>
        <w:jc w:val="left"/>
        <w:rPr>
          <w:rFonts w:ascii="仿宋" w:hAnsi="仿宋" w:eastAsia="仿宋" w:cs="宋体"/>
          <w:b/>
          <w:color w:val="333333"/>
          <w:kern w:val="0"/>
          <w:sz w:val="30"/>
          <w:szCs w:val="30"/>
        </w:rPr>
      </w:pPr>
      <w:r>
        <w:rPr>
          <w:rFonts w:hint="eastAsia" w:ascii="仿宋" w:hAnsi="仿宋" w:eastAsia="仿宋" w:cs="宋体"/>
          <w:color w:val="010101"/>
          <w:kern w:val="0"/>
          <w:sz w:val="30"/>
          <w:szCs w:val="30"/>
        </w:rPr>
        <w:t>1、职能职责</w:t>
      </w:r>
    </w:p>
    <w:p w14:paraId="4ED946B1">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（1）执行上级国家行政机关的决定、命令和国家制定的法令、法规，接受同级党委的领导，执行本级人民代表大会的各项决议，并报告执行决议、决定和命令的情况。</w:t>
      </w:r>
    </w:p>
    <w:p w14:paraId="268B88B9">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（2）制定并落实本行政区域的经济计划和措施，促进产业结构调整及其他经济保持平衡协调发展，全面提高人民群众的生活水平和生活质量。</w:t>
      </w:r>
    </w:p>
    <w:p w14:paraId="5E3054D2">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（3）承担国有资产、集体资产管理、监督及增值保值责任</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保护公民私人所有合法财产，保障集体经济组织应有的自主权</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监督企业和各种经济联合体、个体户认真执行国家的法律、法令和政策，履行经济合同。</w:t>
      </w:r>
    </w:p>
    <w:p w14:paraId="743E25D7">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（4）开展社会主义民主和法制的宣传教育，保障公民的权利</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制定社会治安综合治理工作规划并组织实施</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加强社区管理工作，依法管理外来流动人口，处理人民来信来访，调解民间纠纷，打击违法犯罪，维护社会稳定。</w:t>
      </w:r>
    </w:p>
    <w:p w14:paraId="12493997">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（5）制定社会各项事业发展计划，</w:t>
      </w:r>
    </w:p>
    <w:p w14:paraId="5DB06F15">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发展教育、卫生、科技、民政、广播电视、文化、体育事业</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组织实施义务教育和其他各类教育</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加强计划生育工作</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推进社会保障、社会福利事业和养老保险工作</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做好劳动管理、科普、老龄及宗教、侨务等工作。</w:t>
      </w:r>
    </w:p>
    <w:p w14:paraId="430471D0">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（6）加强镇级财政的监督和管理，按计划组织、管理镇财政收入和支出，执行国家有关财经纪律和政策，保证国家财政收入的完成</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做好统计工作。</w:t>
      </w:r>
    </w:p>
    <w:p w14:paraId="25FC4B22">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（7）指导、支持、帮助村</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居</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民委员会的组织制度建设和业务建设。</w:t>
      </w:r>
    </w:p>
    <w:p w14:paraId="29465884">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（8）制定和组织实施镇村建设规划</w:t>
      </w:r>
      <w:r>
        <w:rPr>
          <w:rFonts w:hint="eastAsia" w:ascii="仿宋" w:hAnsi="仿宋" w:eastAsia="仿宋" w:cs="宋体"/>
          <w:color w:val="333333"/>
          <w:kern w:val="0"/>
          <w:sz w:val="30"/>
          <w:szCs w:val="30"/>
          <w:lang w:eastAsia="zh-CN"/>
        </w:rPr>
        <w:t>；</w:t>
      </w:r>
      <w:r>
        <w:rPr>
          <w:rFonts w:hint="eastAsia" w:ascii="仿宋" w:hAnsi="仿宋" w:eastAsia="仿宋" w:cs="宋体"/>
          <w:color w:val="333333"/>
          <w:kern w:val="0"/>
          <w:sz w:val="30"/>
          <w:szCs w:val="30"/>
        </w:rPr>
        <w:t>加强公用、市政设施、水利建设和管理以及房屋土地管理和环境综合整治工作，保护和改善生活环境和生态环境。</w:t>
      </w:r>
    </w:p>
    <w:p w14:paraId="61C9F1F2">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（9）协助和支持设置在本行政区域内不隶属于镇的国家机关和企事业单位工作，监督其遵守和执行国家的</w:t>
      </w:r>
      <w:r>
        <w:rPr>
          <w:rFonts w:hint="eastAsia" w:ascii="仿宋" w:hAnsi="仿宋" w:eastAsia="仿宋" w:cs="宋体"/>
          <w:color w:val="333333"/>
          <w:kern w:val="0"/>
          <w:sz w:val="30"/>
          <w:szCs w:val="30"/>
          <w:lang w:eastAsia="zh-CN"/>
        </w:rPr>
        <w:t>法律法规</w:t>
      </w:r>
      <w:r>
        <w:rPr>
          <w:rFonts w:hint="eastAsia" w:ascii="仿宋" w:hAnsi="仿宋" w:eastAsia="仿宋" w:cs="宋体"/>
          <w:color w:val="333333"/>
          <w:kern w:val="0"/>
          <w:sz w:val="30"/>
          <w:szCs w:val="30"/>
        </w:rPr>
        <w:t>和政策。</w:t>
      </w:r>
    </w:p>
    <w:p w14:paraId="16429351">
      <w:pPr>
        <w:widowControl/>
        <w:shd w:val="clear" w:color="auto" w:fill="FFFFFF"/>
        <w:spacing w:line="560" w:lineRule="exact"/>
        <w:ind w:firstLine="420"/>
        <w:rPr>
          <w:rFonts w:ascii="仿宋" w:hAnsi="仿宋" w:eastAsia="仿宋" w:cs="宋体"/>
          <w:color w:val="333333"/>
          <w:kern w:val="0"/>
          <w:sz w:val="30"/>
          <w:szCs w:val="30"/>
        </w:rPr>
      </w:pPr>
      <w:r>
        <w:rPr>
          <w:rFonts w:hint="eastAsia" w:ascii="仿宋" w:hAnsi="仿宋" w:eastAsia="仿宋" w:cs="宋体"/>
          <w:color w:val="333333"/>
          <w:kern w:val="0"/>
          <w:sz w:val="30"/>
          <w:szCs w:val="30"/>
        </w:rPr>
        <w:t>（10）承办市人民政府交办的</w:t>
      </w:r>
      <w:r>
        <w:rPr>
          <w:rFonts w:hint="eastAsia" w:ascii="仿宋" w:hAnsi="仿宋" w:eastAsia="仿宋" w:cs="宋体"/>
          <w:color w:val="333333"/>
          <w:kern w:val="0"/>
          <w:sz w:val="30"/>
          <w:szCs w:val="30"/>
          <w:lang w:eastAsia="zh-CN"/>
        </w:rPr>
        <w:t>其他</w:t>
      </w:r>
      <w:r>
        <w:rPr>
          <w:rFonts w:hint="eastAsia" w:ascii="仿宋" w:hAnsi="仿宋" w:eastAsia="仿宋" w:cs="宋体"/>
          <w:color w:val="333333"/>
          <w:kern w:val="0"/>
          <w:sz w:val="30"/>
          <w:szCs w:val="30"/>
        </w:rPr>
        <w:t>事项。</w:t>
      </w:r>
    </w:p>
    <w:p w14:paraId="1B926A13">
      <w:pPr>
        <w:widowControl/>
        <w:shd w:val="clear" w:color="auto" w:fill="FFFFFF"/>
        <w:spacing w:before="204" w:line="560" w:lineRule="exact"/>
        <w:ind w:firstLine="465"/>
        <w:jc w:val="left"/>
        <w:rPr>
          <w:rFonts w:ascii="仿宋" w:hAnsi="仿宋" w:eastAsia="仿宋" w:cs="宋体"/>
          <w:color w:val="333333"/>
          <w:kern w:val="0"/>
          <w:sz w:val="30"/>
          <w:szCs w:val="30"/>
        </w:rPr>
      </w:pPr>
      <w:r>
        <w:rPr>
          <w:rFonts w:hint="eastAsia" w:ascii="仿宋" w:hAnsi="仿宋" w:eastAsia="仿宋" w:cs="宋体"/>
          <w:color w:val="010101"/>
          <w:kern w:val="0"/>
          <w:sz w:val="30"/>
          <w:szCs w:val="30"/>
        </w:rPr>
        <w:t>2、组织架构，人员编制：</w:t>
      </w:r>
    </w:p>
    <w:p w14:paraId="5B7BB61A">
      <w:pPr>
        <w:pStyle w:val="6"/>
        <w:spacing w:before="0" w:beforeAutospacing="0" w:after="0" w:afterAutospacing="0" w:line="560" w:lineRule="exact"/>
        <w:ind w:firstLine="435"/>
        <w:textAlignment w:val="center"/>
        <w:rPr>
          <w:rFonts w:ascii="仿宋" w:hAnsi="仿宋" w:eastAsia="仿宋"/>
          <w:color w:val="333333"/>
          <w:sz w:val="30"/>
          <w:szCs w:val="30"/>
        </w:rPr>
      </w:pPr>
      <w:r>
        <w:rPr>
          <w:rFonts w:hint="eastAsia" w:ascii="仿宋" w:hAnsi="仿宋" w:eastAsia="仿宋"/>
          <w:color w:val="333333"/>
          <w:sz w:val="30"/>
          <w:szCs w:val="30"/>
        </w:rPr>
        <w:t>（1）夏铎铺镇部门共设机关、一所三中心及一队。具体职能职责如下：</w:t>
      </w:r>
    </w:p>
    <w:p w14:paraId="705EBADD">
      <w:pPr>
        <w:pStyle w:val="6"/>
        <w:spacing w:before="0" w:beforeAutospacing="0" w:after="0" w:afterAutospacing="0" w:line="560" w:lineRule="exact"/>
        <w:ind w:firstLine="435"/>
        <w:textAlignment w:val="center"/>
        <w:rPr>
          <w:rFonts w:ascii="仿宋" w:hAnsi="仿宋" w:eastAsia="仿宋"/>
          <w:color w:val="333333"/>
          <w:sz w:val="30"/>
          <w:szCs w:val="30"/>
        </w:rPr>
      </w:pPr>
      <w:r>
        <w:rPr>
          <w:rFonts w:hint="eastAsia" w:ascii="仿宋" w:hAnsi="仿宋" w:eastAsia="仿宋"/>
          <w:color w:val="333333"/>
          <w:sz w:val="30"/>
          <w:szCs w:val="30"/>
        </w:rPr>
        <w:t>①、夏铎铺镇机关。负责政府全面工作，负责编制本级财政预算、决算，组织预算收入和执行预算支出，</w:t>
      </w:r>
      <w:r>
        <w:rPr>
          <w:rFonts w:hint="eastAsia" w:ascii="仿宋" w:hAnsi="仿宋" w:eastAsia="仿宋"/>
          <w:sz w:val="28"/>
          <w:szCs w:val="28"/>
        </w:rPr>
        <w:t>负责加强镇属各中心（所）的财务管理和监督等</w:t>
      </w:r>
      <w:r>
        <w:rPr>
          <w:rFonts w:hint="eastAsia"/>
          <w:sz w:val="28"/>
          <w:szCs w:val="28"/>
        </w:rPr>
        <w:t>。</w:t>
      </w:r>
    </w:p>
    <w:p w14:paraId="4821BFD0">
      <w:pPr>
        <w:pStyle w:val="6"/>
        <w:spacing w:before="0" w:beforeAutospacing="0" w:after="0" w:afterAutospacing="0" w:line="560" w:lineRule="exact"/>
        <w:ind w:firstLine="435"/>
        <w:textAlignment w:val="center"/>
        <w:rPr>
          <w:rFonts w:ascii="仿宋" w:hAnsi="仿宋" w:eastAsia="仿宋"/>
          <w:color w:val="333333"/>
          <w:sz w:val="30"/>
          <w:szCs w:val="30"/>
        </w:rPr>
      </w:pPr>
      <w:r>
        <w:rPr>
          <w:rFonts w:hint="eastAsia" w:ascii="仿宋" w:hAnsi="仿宋" w:eastAsia="仿宋"/>
          <w:color w:val="333333"/>
          <w:sz w:val="30"/>
          <w:szCs w:val="30"/>
        </w:rPr>
        <w:t>②、夏铎铺镇司法所。负责提供法律保障、法律服务、法制宣传教育等，指导管理人民调解工作，指导管理基层法律服务工作等。</w:t>
      </w:r>
    </w:p>
    <w:p w14:paraId="1DE933EF">
      <w:pPr>
        <w:pStyle w:val="6"/>
        <w:spacing w:before="0" w:beforeAutospacing="0" w:after="0" w:afterAutospacing="0" w:line="560" w:lineRule="exact"/>
        <w:ind w:firstLine="435"/>
        <w:textAlignment w:val="center"/>
        <w:rPr>
          <w:rFonts w:ascii="仿宋" w:hAnsi="仿宋" w:eastAsia="仿宋"/>
          <w:color w:val="333333"/>
          <w:sz w:val="30"/>
          <w:szCs w:val="30"/>
        </w:rPr>
      </w:pPr>
      <w:r>
        <w:rPr>
          <w:rFonts w:hint="eastAsia" w:ascii="仿宋" w:hAnsi="仿宋" w:eastAsia="仿宋"/>
          <w:color w:val="333333"/>
          <w:sz w:val="30"/>
          <w:szCs w:val="30"/>
        </w:rPr>
        <w:t>③、夏铎铺镇社会事务综合服务中心。主要承担民政事务、社保保障、文化宣传、广播影视、法制教育、文艺演出、群众体育、科技推广、科普培训、生殖健康宣传、咨询、检查和提供计划生育技术指导服务等职责。</w:t>
      </w:r>
    </w:p>
    <w:p w14:paraId="638A4744">
      <w:pPr>
        <w:pStyle w:val="2"/>
        <w:spacing w:line="560" w:lineRule="exact"/>
        <w:ind w:firstLine="450" w:firstLineChars="150"/>
        <w:rPr>
          <w:rFonts w:hAnsi="宋体" w:cs="Times New Roman"/>
          <w:sz w:val="28"/>
          <w:szCs w:val="28"/>
        </w:rPr>
      </w:pPr>
      <w:r>
        <w:rPr>
          <w:rFonts w:hint="eastAsia" w:ascii="仿宋" w:hAnsi="仿宋" w:eastAsia="仿宋"/>
          <w:color w:val="333333"/>
          <w:sz w:val="30"/>
          <w:szCs w:val="30"/>
        </w:rPr>
        <w:t>④、夏铎铺镇农业综合服务中心。主要承担农林水等产业新技术、新品种的示范、推广；动植物防疫检疫、病虫害及疫情的检测、预报、防治和处理；畜禽与畜禽产品检疫、检验；森林资源管理、护林防火；水资源管理、防汛抗旱、农田水利建设；农业机械管理；农产品质量安全监测等职责。</w:t>
      </w:r>
    </w:p>
    <w:p w14:paraId="7BDDED50">
      <w:pPr>
        <w:pStyle w:val="6"/>
        <w:spacing w:before="0" w:beforeAutospacing="0" w:after="0" w:afterAutospacing="0" w:line="560" w:lineRule="exact"/>
        <w:ind w:firstLine="600" w:firstLineChars="200"/>
        <w:textAlignment w:val="center"/>
        <w:rPr>
          <w:rFonts w:ascii="仿宋" w:hAnsi="仿宋" w:eastAsia="仿宋"/>
          <w:color w:val="333333"/>
          <w:sz w:val="30"/>
          <w:szCs w:val="30"/>
        </w:rPr>
      </w:pPr>
      <w:r>
        <w:rPr>
          <w:rFonts w:hint="eastAsia" w:ascii="仿宋" w:hAnsi="仿宋" w:eastAsia="仿宋"/>
          <w:color w:val="333333"/>
          <w:sz w:val="30"/>
          <w:szCs w:val="30"/>
        </w:rPr>
        <w:t>⑤、夏铎铺镇政务服务中心。负责宣传贯彻国家相关</w:t>
      </w:r>
      <w:r>
        <w:rPr>
          <w:rFonts w:hint="eastAsia" w:ascii="仿宋" w:hAnsi="仿宋" w:eastAsia="仿宋"/>
          <w:color w:val="333333"/>
          <w:sz w:val="30"/>
          <w:szCs w:val="30"/>
          <w:lang w:eastAsia="zh-CN"/>
        </w:rPr>
        <w:t>法律法规</w:t>
      </w:r>
      <w:r>
        <w:rPr>
          <w:rFonts w:hint="eastAsia" w:ascii="仿宋" w:hAnsi="仿宋" w:eastAsia="仿宋"/>
          <w:color w:val="333333"/>
          <w:sz w:val="30"/>
          <w:szCs w:val="30"/>
        </w:rPr>
        <w:t>、方针政策，组织编制、实施村社区规划和年度建设计划，加强社区规划建设管理和监督等。</w:t>
      </w:r>
    </w:p>
    <w:p w14:paraId="76080010">
      <w:pPr>
        <w:pStyle w:val="6"/>
        <w:spacing w:before="0" w:beforeAutospacing="0" w:after="0" w:afterAutospacing="0" w:line="560" w:lineRule="exact"/>
        <w:ind w:firstLine="600" w:firstLineChars="200"/>
        <w:textAlignment w:val="center"/>
        <w:rPr>
          <w:rFonts w:ascii="仿宋" w:hAnsi="仿宋" w:eastAsia="仿宋"/>
          <w:color w:val="333333"/>
          <w:sz w:val="30"/>
          <w:szCs w:val="30"/>
        </w:rPr>
      </w:pPr>
      <w:r>
        <w:rPr>
          <w:rFonts w:hint="eastAsia" w:ascii="仿宋" w:hAnsi="仿宋" w:eastAsia="仿宋"/>
          <w:color w:val="333333"/>
          <w:sz w:val="30"/>
          <w:szCs w:val="30"/>
        </w:rPr>
        <w:t>⑥、夏铎铺镇综合行政执法队。主要承担乡村规划、环保、建设、城管等管理和执法职责，加强对安全生产工作的组织领导和管理。</w:t>
      </w:r>
    </w:p>
    <w:p w14:paraId="17B22BCB">
      <w:pPr>
        <w:widowControl/>
        <w:spacing w:line="360" w:lineRule="auto"/>
        <w:ind w:firstLine="600" w:firstLineChars="200"/>
        <w:rPr>
          <w:sz w:val="32"/>
          <w:szCs w:val="32"/>
        </w:rPr>
      </w:pPr>
      <w:r>
        <w:rPr>
          <w:rFonts w:hint="eastAsia" w:ascii="仿宋" w:hAnsi="仿宋" w:eastAsia="仿宋"/>
          <w:color w:val="010101"/>
          <w:sz w:val="30"/>
          <w:szCs w:val="30"/>
        </w:rPr>
        <w:t>（2）</w:t>
      </w:r>
      <w:r>
        <w:rPr>
          <w:rFonts w:hint="eastAsia" w:ascii="仿宋" w:hAnsi="仿宋" w:eastAsia="仿宋"/>
          <w:color w:val="333333"/>
          <w:sz w:val="30"/>
          <w:szCs w:val="30"/>
        </w:rPr>
        <w:t>2022年夏铎铺镇共辖9个村（社区）、271个居民小组，乡镇总人口4.34万，现有村（社区）干部61人。2022年末乡镇财政供养实有在职</w:t>
      </w:r>
      <w:r>
        <w:rPr>
          <w:rFonts w:hint="eastAsia" w:ascii="仿宋" w:hAnsi="仿宋" w:eastAsia="仿宋"/>
          <w:color w:val="333333"/>
          <w:sz w:val="30"/>
          <w:szCs w:val="30"/>
          <w:lang w:val="en-US" w:eastAsia="zh-CN"/>
        </w:rPr>
        <w:t>160</w:t>
      </w:r>
      <w:r>
        <w:rPr>
          <w:rFonts w:hint="eastAsia" w:ascii="仿宋" w:hAnsi="仿宋" w:eastAsia="仿宋"/>
          <w:color w:val="333333"/>
          <w:sz w:val="30"/>
          <w:szCs w:val="30"/>
        </w:rPr>
        <w:t>人，其中：行政人员</w:t>
      </w:r>
      <w:r>
        <w:rPr>
          <w:rFonts w:hint="eastAsia" w:ascii="仿宋" w:hAnsi="仿宋" w:eastAsia="仿宋"/>
          <w:color w:val="333333"/>
          <w:sz w:val="30"/>
          <w:szCs w:val="30"/>
          <w:lang w:val="en-US" w:eastAsia="zh-CN"/>
        </w:rPr>
        <w:t>49</w:t>
      </w:r>
      <w:r>
        <w:rPr>
          <w:rFonts w:hint="eastAsia" w:ascii="仿宋" w:hAnsi="仿宋" w:eastAsia="仿宋"/>
          <w:color w:val="333333"/>
          <w:sz w:val="30"/>
          <w:szCs w:val="30"/>
        </w:rPr>
        <w:t>人、全额事业人员5</w:t>
      </w:r>
      <w:r>
        <w:rPr>
          <w:rFonts w:hint="eastAsia" w:ascii="仿宋" w:hAnsi="仿宋" w:eastAsia="仿宋"/>
          <w:color w:val="333333"/>
          <w:sz w:val="30"/>
          <w:szCs w:val="30"/>
          <w:lang w:val="en-US" w:eastAsia="zh-CN"/>
        </w:rPr>
        <w:t>8</w:t>
      </w:r>
      <w:r>
        <w:rPr>
          <w:rFonts w:hint="eastAsia" w:ascii="仿宋" w:hAnsi="仿宋" w:eastAsia="仿宋"/>
          <w:color w:val="333333"/>
          <w:sz w:val="30"/>
          <w:szCs w:val="30"/>
        </w:rPr>
        <w:t>人、差额事业人员5</w:t>
      </w:r>
      <w:r>
        <w:rPr>
          <w:rFonts w:hint="eastAsia" w:ascii="仿宋" w:hAnsi="仿宋" w:eastAsia="仿宋"/>
          <w:color w:val="333333"/>
          <w:sz w:val="30"/>
          <w:szCs w:val="30"/>
          <w:lang w:val="en-US" w:eastAsia="zh-CN"/>
        </w:rPr>
        <w:t>3</w:t>
      </w:r>
      <w:r>
        <w:rPr>
          <w:rFonts w:hint="eastAsia" w:ascii="仿宋" w:hAnsi="仿宋" w:eastAsia="仿宋"/>
          <w:color w:val="333333"/>
          <w:sz w:val="30"/>
          <w:szCs w:val="30"/>
        </w:rPr>
        <w:t>人、自收自支事业人员0人。离休0人，退休64人。遗属人员11人。</w:t>
      </w:r>
      <w:r>
        <w:rPr>
          <w:rFonts w:hint="eastAsia" w:ascii="仿宋" w:hAnsi="仿宋" w:eastAsia="仿宋"/>
          <w:color w:val="000000" w:themeColor="text1"/>
          <w:sz w:val="30"/>
          <w:szCs w:val="30"/>
          <w14:textFill>
            <w14:solidFill>
              <w14:schemeClr w14:val="tx1"/>
            </w14:solidFill>
          </w14:textFill>
        </w:rPr>
        <w:t>核定车辆编制</w:t>
      </w:r>
      <w:r>
        <w:rPr>
          <w:rFonts w:hint="eastAsia" w:ascii="仿宋" w:hAnsi="仿宋" w:eastAsia="仿宋"/>
          <w:color w:val="000000" w:themeColor="text1"/>
          <w:sz w:val="30"/>
          <w:szCs w:val="30"/>
          <w:lang w:val="en-US" w:eastAsia="zh-CN"/>
          <w14:textFill>
            <w14:solidFill>
              <w14:schemeClr w14:val="tx1"/>
            </w14:solidFill>
          </w14:textFill>
        </w:rPr>
        <w:t>3</w:t>
      </w:r>
      <w:r>
        <w:rPr>
          <w:rFonts w:hint="eastAsia" w:ascii="仿宋" w:hAnsi="仿宋" w:eastAsia="仿宋"/>
          <w:color w:val="000000" w:themeColor="text1"/>
          <w:sz w:val="30"/>
          <w:szCs w:val="30"/>
          <w14:textFill>
            <w14:solidFill>
              <w14:schemeClr w14:val="tx1"/>
            </w14:solidFill>
          </w14:textFill>
        </w:rPr>
        <w:t xml:space="preserve"> 台，实有公务用车</w:t>
      </w:r>
      <w:r>
        <w:rPr>
          <w:rFonts w:hint="eastAsia" w:ascii="仿宋" w:hAnsi="仿宋" w:eastAsia="仿宋"/>
          <w:color w:val="000000" w:themeColor="text1"/>
          <w:sz w:val="30"/>
          <w:szCs w:val="30"/>
          <w:lang w:val="en-US" w:eastAsia="zh-CN"/>
          <w14:textFill>
            <w14:solidFill>
              <w14:schemeClr w14:val="tx1"/>
            </w14:solidFill>
          </w14:textFill>
        </w:rPr>
        <w:t>3</w:t>
      </w:r>
      <w:r>
        <w:rPr>
          <w:rFonts w:hint="eastAsia" w:ascii="仿宋" w:hAnsi="仿宋" w:eastAsia="仿宋"/>
          <w:color w:val="000000" w:themeColor="text1"/>
          <w:sz w:val="30"/>
          <w:szCs w:val="30"/>
          <w14:textFill>
            <w14:solidFill>
              <w14:schemeClr w14:val="tx1"/>
            </w14:solidFill>
          </w14:textFill>
        </w:rPr>
        <w:t>台。</w:t>
      </w:r>
    </w:p>
    <w:p w14:paraId="39C8B217">
      <w:pPr>
        <w:pStyle w:val="6"/>
        <w:spacing w:before="0" w:beforeAutospacing="0" w:after="0" w:afterAutospacing="0" w:line="560" w:lineRule="exact"/>
        <w:ind w:firstLine="435"/>
        <w:textAlignment w:val="center"/>
        <w:rPr>
          <w:rFonts w:ascii="仿宋" w:hAnsi="仿宋" w:eastAsia="仿宋"/>
          <w:b/>
          <w:color w:val="333333"/>
          <w:sz w:val="30"/>
          <w:szCs w:val="30"/>
        </w:rPr>
      </w:pPr>
      <w:r>
        <w:rPr>
          <w:rFonts w:hint="eastAsia" w:ascii="仿宋" w:hAnsi="仿宋" w:eastAsia="仿宋"/>
          <w:b/>
          <w:color w:val="333333"/>
          <w:sz w:val="30"/>
          <w:szCs w:val="30"/>
        </w:rPr>
        <w:t>（二）部门整体支出规模、使用方向和主要内容、涉及范围等。</w:t>
      </w:r>
    </w:p>
    <w:p w14:paraId="02F60297">
      <w:pPr>
        <w:widowControl/>
        <w:shd w:val="clear" w:color="auto" w:fill="FFFFFF"/>
        <w:spacing w:line="540" w:lineRule="exact"/>
        <w:ind w:firstLine="600"/>
        <w:rPr>
          <w:rFonts w:ascii="仿宋" w:hAnsi="仿宋" w:eastAsia="仿宋" w:cs="宋体"/>
          <w:color w:val="333333"/>
          <w:kern w:val="0"/>
          <w:sz w:val="30"/>
          <w:szCs w:val="30"/>
        </w:rPr>
      </w:pPr>
      <w:r>
        <w:rPr>
          <w:rFonts w:hint="eastAsia" w:ascii="仿宋" w:hAnsi="仿宋" w:eastAsia="仿宋" w:cs="宋体"/>
          <w:color w:val="333333"/>
          <w:kern w:val="0"/>
          <w:sz w:val="30"/>
          <w:szCs w:val="30"/>
        </w:rPr>
        <w:t>2022年部门决算总支出10132.08万元，其中：一般公共服务支出5475.18万元；公共安全支出1.32万元；教育支出78.07万元；文化体育与传媒支出26.44万元；社会保障和就业支出696.73万元；医疗卫生与计划生育支出116.56万元；节能环保支出837.5万元；城乡社区事务支出64.81万元；农林水支出2317.62万元；交通运输支出213.69万元；资源勘探信息等支出20万元；住房保障支出130.05万元；灾害防治及应急管理支出35万元，其他支出119.11万元。整个2022年收支平衡，可持续发展，财政无结余。</w:t>
      </w:r>
    </w:p>
    <w:p w14:paraId="225A28D3">
      <w:pPr>
        <w:widowControl/>
        <w:shd w:val="clear" w:color="auto" w:fill="FFFFFF"/>
        <w:spacing w:before="204" w:line="560" w:lineRule="exact"/>
        <w:ind w:firstLine="600" w:firstLineChars="200"/>
        <w:jc w:val="left"/>
        <w:rPr>
          <w:rFonts w:ascii="黑体" w:hAnsi="黑体" w:eastAsia="黑体" w:cs="宋体"/>
          <w:color w:val="010101"/>
          <w:kern w:val="0"/>
          <w:sz w:val="30"/>
          <w:szCs w:val="30"/>
        </w:rPr>
      </w:pPr>
      <w:r>
        <w:rPr>
          <w:rFonts w:hint="eastAsia" w:ascii="黑体" w:hAnsi="黑体" w:eastAsia="黑体" w:cs="宋体"/>
          <w:color w:val="010101"/>
          <w:kern w:val="0"/>
          <w:sz w:val="30"/>
          <w:szCs w:val="30"/>
        </w:rPr>
        <w:t>二、部门整体支出管理及使用情况</w:t>
      </w:r>
    </w:p>
    <w:p w14:paraId="73DC1036">
      <w:pPr>
        <w:pStyle w:val="6"/>
        <w:spacing w:before="0" w:beforeAutospacing="0" w:after="0" w:afterAutospacing="0" w:line="560" w:lineRule="exact"/>
        <w:ind w:firstLine="435"/>
        <w:textAlignment w:val="center"/>
        <w:rPr>
          <w:rFonts w:ascii="仿宋" w:hAnsi="仿宋" w:eastAsia="仿宋"/>
          <w:b/>
          <w:color w:val="333333"/>
          <w:sz w:val="30"/>
          <w:szCs w:val="30"/>
        </w:rPr>
      </w:pPr>
      <w:r>
        <w:rPr>
          <w:rFonts w:hint="eastAsia" w:ascii="仿宋" w:hAnsi="仿宋" w:eastAsia="仿宋"/>
          <w:b/>
          <w:color w:val="333333"/>
          <w:sz w:val="30"/>
          <w:szCs w:val="30"/>
        </w:rPr>
        <w:t>（一）基本支出</w:t>
      </w:r>
    </w:p>
    <w:p w14:paraId="473C4E79">
      <w:pPr>
        <w:pStyle w:val="6"/>
        <w:spacing w:before="0" w:beforeAutospacing="0" w:after="0" w:afterAutospacing="0" w:line="560" w:lineRule="exact"/>
        <w:ind w:firstLine="435"/>
        <w:textAlignment w:val="center"/>
        <w:rPr>
          <w:rFonts w:ascii="仿宋" w:hAnsi="仿宋" w:eastAsia="仿宋"/>
          <w:color w:val="333333"/>
          <w:sz w:val="30"/>
          <w:szCs w:val="30"/>
        </w:rPr>
      </w:pPr>
      <w:r>
        <w:rPr>
          <w:rFonts w:hint="eastAsia" w:ascii="仿宋" w:hAnsi="仿宋" w:eastAsia="仿宋"/>
          <w:color w:val="333333"/>
          <w:sz w:val="30"/>
          <w:szCs w:val="30"/>
        </w:rPr>
        <w:t>是指为保障单位机构正常运转、完成</w:t>
      </w:r>
      <w:r>
        <w:rPr>
          <w:rFonts w:hint="eastAsia" w:ascii="仿宋" w:hAnsi="仿宋" w:eastAsia="仿宋"/>
          <w:color w:val="333333"/>
          <w:sz w:val="30"/>
          <w:szCs w:val="30"/>
          <w:lang w:eastAsia="zh-CN"/>
        </w:rPr>
        <w:t>日常</w:t>
      </w:r>
      <w:r>
        <w:rPr>
          <w:rFonts w:hint="eastAsia" w:ascii="仿宋" w:hAnsi="仿宋" w:eastAsia="仿宋"/>
          <w:color w:val="333333"/>
          <w:sz w:val="30"/>
          <w:szCs w:val="30"/>
        </w:rPr>
        <w:t>工作任务而发生的各项支出，包括用于基本工资、津贴补贴等人员经费以及办公费、印刷费、水电费、办公设备购置等日常公用经费。2022年决算基本支出3728.79万元，其中，工资福利支出3201.18万元；商品和服务支出235.42万元；对个人和家庭的补助279.46万元；其他资本性支出12.72万元。2022年“三公”经费决算数为25.79万元，其中，公务接待费18.59万元，公务用车购置及运行费7.2万元（其中，公务用车购置费0万元，公务用车运行费7.2万元），因公出国（境）费0万元。2022年“三公”经费决算较2021年增加2.52万元，主要是公务用车运行费用有所增加。</w:t>
      </w:r>
    </w:p>
    <w:p w14:paraId="526CA2EB">
      <w:pPr>
        <w:pStyle w:val="6"/>
        <w:spacing w:before="0" w:beforeAutospacing="0" w:after="0" w:afterAutospacing="0" w:line="560" w:lineRule="exact"/>
        <w:ind w:firstLine="435"/>
        <w:textAlignment w:val="center"/>
        <w:rPr>
          <w:rFonts w:ascii="仿宋" w:hAnsi="仿宋" w:eastAsia="仿宋"/>
          <w:b/>
          <w:color w:val="333333"/>
          <w:sz w:val="30"/>
          <w:szCs w:val="30"/>
        </w:rPr>
      </w:pPr>
      <w:r>
        <w:rPr>
          <w:rFonts w:hint="eastAsia" w:ascii="仿宋" w:hAnsi="仿宋" w:eastAsia="仿宋"/>
          <w:b/>
          <w:color w:val="333333"/>
          <w:sz w:val="30"/>
          <w:szCs w:val="30"/>
        </w:rPr>
        <w:t>（二）项目支出</w:t>
      </w:r>
    </w:p>
    <w:p w14:paraId="4044FE3F">
      <w:pPr>
        <w:pStyle w:val="6"/>
        <w:spacing w:before="0" w:beforeAutospacing="0" w:after="0" w:afterAutospacing="0" w:line="560" w:lineRule="exact"/>
        <w:ind w:firstLine="600" w:firstLineChars="200"/>
        <w:textAlignment w:val="center"/>
        <w:rPr>
          <w:rFonts w:ascii="仿宋" w:hAnsi="仿宋" w:eastAsia="仿宋"/>
          <w:color w:val="333333"/>
          <w:sz w:val="30"/>
          <w:szCs w:val="30"/>
        </w:rPr>
      </w:pPr>
      <w:r>
        <w:rPr>
          <w:rFonts w:hint="eastAsia" w:ascii="仿宋" w:hAnsi="仿宋" w:eastAsia="仿宋"/>
          <w:color w:val="333333"/>
          <w:sz w:val="30"/>
          <w:szCs w:val="30"/>
        </w:rPr>
        <w:t>是指乡镇各部门为履行工作职能，完成工作任务，需要发生的经常事务性的项目支出和完成特定工作任务或事业发展目标而发生的项目支出</w:t>
      </w:r>
      <w:r>
        <w:rPr>
          <w:rFonts w:hint="eastAsia" w:ascii="仿宋" w:hAnsi="仿宋" w:eastAsia="仿宋"/>
          <w:color w:val="333333"/>
          <w:sz w:val="30"/>
          <w:szCs w:val="30"/>
          <w:lang w:eastAsia="zh-CN"/>
        </w:rPr>
        <w:t>（</w:t>
      </w:r>
      <w:r>
        <w:rPr>
          <w:rFonts w:hint="eastAsia" w:ascii="仿宋" w:hAnsi="仿宋" w:eastAsia="仿宋"/>
          <w:color w:val="333333"/>
          <w:sz w:val="30"/>
          <w:szCs w:val="30"/>
        </w:rPr>
        <w:t>包括通过发改部门立项安排的项目支出</w:t>
      </w:r>
      <w:r>
        <w:rPr>
          <w:rFonts w:hint="eastAsia" w:ascii="仿宋" w:hAnsi="仿宋" w:eastAsia="仿宋"/>
          <w:color w:val="333333"/>
          <w:sz w:val="30"/>
          <w:szCs w:val="30"/>
          <w:lang w:eastAsia="zh-CN"/>
        </w:rPr>
        <w:t>）</w:t>
      </w:r>
      <w:r>
        <w:rPr>
          <w:rFonts w:hint="eastAsia" w:ascii="仿宋" w:hAnsi="仿宋" w:eastAsia="仿宋"/>
          <w:color w:val="333333"/>
          <w:sz w:val="30"/>
          <w:szCs w:val="30"/>
        </w:rPr>
        <w:t>。2022年决算项目支出6403.29元，其中一般公共服务支出2811.88万元，主要是环境卫生整治、美丽乡村建设、乡村振兴、全域土地整治及其他一般事务性项目支出；公共安全支出1.32万元；教育支出78.07万元，主要是学校建设投入；文化体育与传媒支出26.44万元；社会保障和就业307.15万元，主要是死亡抚恤、临时救济、高龄补贴、公墓建设等；卫生健康支出47.69万元，主要是新冠肺炎防控支出、计划生育支出；节能环保支出837.5万元，主要是环境卫生整治、污水处理项目、压缩式垃圾中转站建设等；城乡社区支出64.81万元，主要是新农村建设、小城镇建设等；农林水事务支出1840.62万元，主要是租田款、公路建设、水利建设、森林公益效益补偿、农村厕所改造、扶贫、村级一事一议项目及转移支付等；交通运输支出213.69万元，主要用于公路保洁及养护等项目；资源勘探工业信息等支出20万元；灾害防治及应急管理支出35万元；其他支出119.11万元。</w:t>
      </w:r>
    </w:p>
    <w:p w14:paraId="553BFCBD">
      <w:pPr>
        <w:widowControl/>
        <w:shd w:val="clear" w:color="auto" w:fill="FFFFFF"/>
        <w:spacing w:before="204" w:line="560" w:lineRule="exact"/>
        <w:ind w:firstLine="600" w:firstLineChars="200"/>
        <w:jc w:val="left"/>
        <w:rPr>
          <w:rFonts w:ascii="黑体" w:hAnsi="黑体" w:eastAsia="黑体" w:cs="宋体"/>
          <w:color w:val="010101"/>
          <w:kern w:val="0"/>
          <w:sz w:val="30"/>
          <w:szCs w:val="30"/>
        </w:rPr>
      </w:pPr>
      <w:r>
        <w:rPr>
          <w:rFonts w:hint="eastAsia" w:ascii="黑体" w:hAnsi="黑体" w:eastAsia="黑体" w:cs="宋体"/>
          <w:color w:val="010101"/>
          <w:kern w:val="0"/>
          <w:sz w:val="30"/>
          <w:szCs w:val="30"/>
        </w:rPr>
        <w:t>三、部门项目组织实施情况</w:t>
      </w:r>
    </w:p>
    <w:p w14:paraId="12EED169">
      <w:pPr>
        <w:widowControl/>
        <w:shd w:val="clear" w:color="auto" w:fill="FFFFFF"/>
        <w:spacing w:line="560" w:lineRule="exact"/>
        <w:ind w:firstLine="641"/>
        <w:jc w:val="left"/>
        <w:rPr>
          <w:rFonts w:ascii="仿宋" w:hAnsi="仿宋" w:eastAsia="仿宋" w:cs="宋体"/>
          <w:color w:val="333333"/>
          <w:kern w:val="0"/>
          <w:sz w:val="30"/>
          <w:szCs w:val="30"/>
        </w:rPr>
      </w:pPr>
      <w:r>
        <w:rPr>
          <w:rFonts w:hint="eastAsia" w:ascii="仿宋" w:hAnsi="仿宋" w:eastAsia="仿宋" w:cs="宋体"/>
          <w:color w:val="333333"/>
          <w:kern w:val="0"/>
          <w:sz w:val="30"/>
          <w:szCs w:val="30"/>
        </w:rPr>
        <w:t>建立健全镇、村级财务制度，规范项目招投标管理流程，落实政府采购政策，</w:t>
      </w:r>
      <w:r>
        <w:rPr>
          <w:rFonts w:hint="eastAsia" w:ascii="仿宋" w:hAnsi="仿宋" w:eastAsia="仿宋" w:cs="宋体"/>
          <w:color w:val="333333"/>
          <w:kern w:val="0"/>
          <w:sz w:val="30"/>
          <w:szCs w:val="30"/>
          <w:lang w:eastAsia="zh-CN"/>
        </w:rPr>
        <w:t>加大</w:t>
      </w:r>
      <w:r>
        <w:rPr>
          <w:rFonts w:hint="eastAsia" w:ascii="仿宋" w:hAnsi="仿宋" w:eastAsia="仿宋" w:cs="宋体"/>
          <w:color w:val="333333"/>
          <w:kern w:val="0"/>
          <w:sz w:val="30"/>
          <w:szCs w:val="30"/>
        </w:rPr>
        <w:t>项目抽查巡查力度，确保项目建设规范有序，社会效益及群众满意率达标。坚持保正常运转，保重点支出，保民生支出，保镇村干部基本待遇稳步增长的工作原则，按月按季及时落实，全力确保社会大局稳定。财政支出继续向广大人民群众关心的民生问题和基层村级部门倾斜，较大幅度提高了财政支出用于农村</w:t>
      </w:r>
      <w:r>
        <w:rPr>
          <w:rFonts w:hint="eastAsia" w:ascii="仿宋" w:hAnsi="仿宋" w:eastAsia="仿宋" w:cs="宋体"/>
          <w:color w:val="333333"/>
          <w:kern w:val="0"/>
          <w:sz w:val="30"/>
          <w:szCs w:val="30"/>
          <w:lang w:eastAsia="zh-CN"/>
        </w:rPr>
        <w:t>基础设施</w:t>
      </w:r>
      <w:r>
        <w:rPr>
          <w:rFonts w:hint="eastAsia" w:ascii="仿宋" w:hAnsi="仿宋" w:eastAsia="仿宋" w:cs="宋体"/>
          <w:color w:val="333333"/>
          <w:kern w:val="0"/>
          <w:sz w:val="30"/>
          <w:szCs w:val="30"/>
        </w:rPr>
        <w:t>建设、农村人居环境整治、社会保障、教育卫生事业。村账镇代理工作有条不紊，及时完成村级财务清理和互联网公开工作，增强村级财务的透明度。</w:t>
      </w:r>
    </w:p>
    <w:p w14:paraId="66BB5081">
      <w:pPr>
        <w:widowControl/>
        <w:shd w:val="clear" w:color="auto" w:fill="FFFFFF"/>
        <w:spacing w:before="204" w:line="560" w:lineRule="exact"/>
        <w:ind w:firstLine="600" w:firstLineChars="200"/>
        <w:jc w:val="left"/>
        <w:rPr>
          <w:rFonts w:ascii="黑体" w:hAnsi="黑体" w:eastAsia="黑体" w:cs="宋体"/>
          <w:color w:val="010101"/>
          <w:kern w:val="0"/>
          <w:sz w:val="30"/>
          <w:szCs w:val="30"/>
        </w:rPr>
      </w:pPr>
      <w:r>
        <w:rPr>
          <w:rFonts w:hint="eastAsia" w:ascii="黑体" w:hAnsi="黑体" w:eastAsia="黑体" w:cs="宋体"/>
          <w:color w:val="010101"/>
          <w:kern w:val="0"/>
          <w:sz w:val="30"/>
          <w:szCs w:val="30"/>
        </w:rPr>
        <w:t>四、资产管理情况</w:t>
      </w:r>
    </w:p>
    <w:p w14:paraId="20780660">
      <w:pPr>
        <w:spacing w:line="560" w:lineRule="exact"/>
        <w:ind w:firstLine="675" w:firstLineChars="225"/>
        <w:rPr>
          <w:rFonts w:ascii="仿宋" w:hAnsi="仿宋" w:eastAsia="仿宋" w:cs="宋体"/>
          <w:color w:val="333333"/>
          <w:kern w:val="0"/>
          <w:sz w:val="30"/>
          <w:szCs w:val="30"/>
        </w:rPr>
      </w:pPr>
      <w:r>
        <w:rPr>
          <w:rFonts w:hint="eastAsia" w:ascii="仿宋" w:hAnsi="仿宋" w:eastAsia="仿宋" w:cs="宋体"/>
          <w:color w:val="333333"/>
          <w:kern w:val="0"/>
          <w:sz w:val="30"/>
          <w:szCs w:val="30"/>
        </w:rPr>
        <w:t>本单位资产配置合理、保管完整，账实相符，资产购置和处置审批手续规范、齐全，利用率高，由镇财政所专人清查管理，统一在行政事业单位资产管理平台上录入信息，打印固定资产台账及资产条码，并将条码标志粘贴至实物明显处，各办公室也明确专人对本办公室固定资产进行登记管理，资产管理安全性和准确性已逐步提高。截至2022年12月31日，本单位资产构成情况为流动资产0元、固定资产3996.44万元、无形资产0元、在建工程256.36元。固定资产的具体构成情况为：</w:t>
      </w:r>
    </w:p>
    <w:p w14:paraId="1205C4C0">
      <w:pPr>
        <w:spacing w:line="560" w:lineRule="exact"/>
        <w:ind w:firstLine="675" w:firstLineChars="225"/>
        <w:rPr>
          <w:rFonts w:ascii="仿宋" w:hAnsi="仿宋" w:eastAsia="仿宋" w:cs="宋体"/>
          <w:color w:val="333333"/>
          <w:kern w:val="0"/>
          <w:sz w:val="30"/>
          <w:szCs w:val="30"/>
        </w:rPr>
      </w:pPr>
      <w:r>
        <w:rPr>
          <w:rFonts w:hint="eastAsia" w:ascii="仿宋" w:hAnsi="仿宋" w:eastAsia="仿宋" w:cs="宋体"/>
          <w:color w:val="333333"/>
          <w:kern w:val="0"/>
          <w:sz w:val="30"/>
          <w:szCs w:val="30"/>
        </w:rPr>
        <w:t>土地房屋及构筑物        3692.35万元</w:t>
      </w:r>
    </w:p>
    <w:p w14:paraId="2DFA8035">
      <w:pPr>
        <w:spacing w:line="560" w:lineRule="exact"/>
        <w:ind w:firstLine="675" w:firstLineChars="225"/>
        <w:rPr>
          <w:rFonts w:ascii="仿宋" w:hAnsi="仿宋" w:eastAsia="仿宋" w:cs="宋体"/>
          <w:color w:val="333333"/>
          <w:kern w:val="0"/>
          <w:sz w:val="30"/>
          <w:szCs w:val="30"/>
        </w:rPr>
      </w:pPr>
      <w:r>
        <w:rPr>
          <w:rFonts w:hint="eastAsia" w:ascii="仿宋" w:hAnsi="仿宋" w:eastAsia="仿宋" w:cs="宋体"/>
          <w:color w:val="333333"/>
          <w:kern w:val="0"/>
          <w:sz w:val="30"/>
          <w:szCs w:val="30"/>
        </w:rPr>
        <w:t>通用设备                214.46万元</w:t>
      </w:r>
    </w:p>
    <w:p w14:paraId="055B7DE8">
      <w:pPr>
        <w:spacing w:line="560" w:lineRule="exact"/>
        <w:ind w:firstLine="675" w:firstLineChars="225"/>
        <w:rPr>
          <w:rFonts w:ascii="仿宋" w:hAnsi="仿宋" w:eastAsia="仿宋" w:cs="宋体"/>
          <w:color w:val="333333"/>
          <w:kern w:val="0"/>
          <w:sz w:val="30"/>
          <w:szCs w:val="30"/>
        </w:rPr>
      </w:pPr>
      <w:r>
        <w:rPr>
          <w:rFonts w:hint="eastAsia" w:ascii="仿宋" w:hAnsi="仿宋" w:eastAsia="仿宋" w:cs="宋体"/>
          <w:color w:val="333333"/>
          <w:kern w:val="0"/>
          <w:sz w:val="30"/>
          <w:szCs w:val="30"/>
        </w:rPr>
        <w:t>专用设备                18.40万元</w:t>
      </w:r>
    </w:p>
    <w:p w14:paraId="365581F9">
      <w:pPr>
        <w:spacing w:line="560" w:lineRule="exact"/>
        <w:ind w:firstLine="675" w:firstLineChars="225"/>
        <w:rPr>
          <w:rFonts w:ascii="仿宋" w:hAnsi="仿宋" w:eastAsia="仿宋" w:cs="宋体"/>
          <w:color w:val="333333"/>
          <w:kern w:val="0"/>
          <w:sz w:val="30"/>
          <w:szCs w:val="30"/>
        </w:rPr>
      </w:pPr>
      <w:r>
        <w:rPr>
          <w:rFonts w:hint="eastAsia" w:ascii="仿宋" w:hAnsi="仿宋" w:eastAsia="仿宋" w:cs="宋体"/>
          <w:color w:val="333333"/>
          <w:kern w:val="0"/>
          <w:sz w:val="30"/>
          <w:szCs w:val="30"/>
        </w:rPr>
        <w:t>家具用具装具及动植物    71.23万元</w:t>
      </w:r>
    </w:p>
    <w:p w14:paraId="17BD5CF6">
      <w:pPr>
        <w:widowControl/>
        <w:shd w:val="clear" w:color="auto" w:fill="FFFFFF"/>
        <w:spacing w:before="204" w:line="560" w:lineRule="exact"/>
        <w:ind w:firstLine="600" w:firstLineChars="200"/>
        <w:jc w:val="left"/>
        <w:rPr>
          <w:rFonts w:ascii="黑体" w:hAnsi="黑体" w:eastAsia="黑体" w:cs="宋体"/>
          <w:color w:val="010101"/>
          <w:kern w:val="0"/>
          <w:sz w:val="30"/>
          <w:szCs w:val="30"/>
        </w:rPr>
      </w:pPr>
      <w:r>
        <w:rPr>
          <w:rFonts w:hint="eastAsia" w:ascii="黑体" w:hAnsi="黑体" w:eastAsia="黑体" w:cs="宋体"/>
          <w:color w:val="010101"/>
          <w:kern w:val="0"/>
          <w:sz w:val="30"/>
          <w:szCs w:val="30"/>
        </w:rPr>
        <w:t>五、部门整体支出绩效情况</w:t>
      </w:r>
    </w:p>
    <w:p w14:paraId="55E79D5C">
      <w:pPr>
        <w:pStyle w:val="6"/>
        <w:shd w:val="clear" w:color="auto" w:fill="FFFFFF"/>
        <w:spacing w:before="0" w:beforeAutospacing="0" w:after="0" w:afterAutospacing="0" w:line="480" w:lineRule="auto"/>
        <w:ind w:firstLine="602" w:firstLineChars="200"/>
        <w:rPr>
          <w:rFonts w:ascii="仿宋" w:hAnsi="仿宋" w:eastAsia="仿宋"/>
          <w:b/>
          <w:color w:val="333333"/>
          <w:sz w:val="30"/>
          <w:szCs w:val="30"/>
        </w:rPr>
      </w:pPr>
      <w:r>
        <w:rPr>
          <w:rFonts w:hint="eastAsia" w:ascii="仿宋" w:hAnsi="仿宋" w:eastAsia="仿宋"/>
          <w:b/>
          <w:color w:val="333333"/>
          <w:sz w:val="30"/>
          <w:szCs w:val="30"/>
        </w:rPr>
        <w:t>（一）产出指标完成情况 </w:t>
      </w:r>
    </w:p>
    <w:p w14:paraId="417283DC">
      <w:pPr>
        <w:adjustRightInd w:val="0"/>
        <w:snapToGrid w:val="0"/>
        <w:spacing w:line="560" w:lineRule="exact"/>
        <w:ind w:firstLine="600" w:firstLineChars="200"/>
        <w:textAlignment w:val="baseline"/>
        <w:rPr>
          <w:rFonts w:ascii="仿宋" w:hAnsi="仿宋" w:eastAsia="仿宋" w:cs="宋体"/>
          <w:color w:val="333333"/>
          <w:kern w:val="0"/>
          <w:sz w:val="30"/>
          <w:szCs w:val="30"/>
        </w:rPr>
      </w:pPr>
      <w:r>
        <w:rPr>
          <w:rFonts w:hint="eastAsia" w:ascii="仿宋" w:hAnsi="仿宋" w:eastAsia="仿宋" w:cs="宋体"/>
          <w:color w:val="333333"/>
          <w:kern w:val="0"/>
          <w:sz w:val="30"/>
          <w:szCs w:val="30"/>
        </w:rPr>
        <w:t>2022年，是党的二十大召开之年，是我国迈上第二个百年奋斗目标进军新征程的重要之年，也是全面落实“强省会”战略部署的开局之年。在这波澜壮阔的一年里，夏铎铺镇党委坚持以习近平新时代中国特色社会主义思想为指导，全面贯彻党的十九大、党的二十大精神，坚决落实上级各项工作部署，在宁乡市委、市政府的领导下，紧紧围绕“工业强市、幸福宁乡”发展定位和“建设省会副中心、挺进全国前十强”发展目标，夯基垒台，闯关夺隘，巩固和延续了全镇经济社会发展“稳”的态势，在助推金洲新城建设的过程中全力践行着“融城桥头堡、新城核心区、宁乡新客厅”的使命担当。</w:t>
      </w:r>
    </w:p>
    <w:p w14:paraId="5D1C50F4">
      <w:pPr>
        <w:pStyle w:val="13"/>
        <w:numPr>
          <w:ilvl w:val="0"/>
          <w:numId w:val="1"/>
        </w:numPr>
        <w:snapToGrid w:val="0"/>
        <w:spacing w:line="560" w:lineRule="exact"/>
        <w:ind w:firstLineChars="0"/>
        <w:rPr>
          <w:rFonts w:ascii="仿宋" w:hAnsi="仿宋" w:eastAsia="仿宋" w:cs="宋体"/>
          <w:color w:val="333333"/>
          <w:kern w:val="0"/>
          <w:sz w:val="30"/>
          <w:szCs w:val="30"/>
        </w:rPr>
      </w:pPr>
      <w:r>
        <w:rPr>
          <w:rFonts w:hint="eastAsia" w:ascii="仿宋" w:hAnsi="仿宋" w:eastAsia="仿宋" w:cs="宋体"/>
          <w:color w:val="333333"/>
          <w:kern w:val="0"/>
          <w:sz w:val="30"/>
          <w:szCs w:val="30"/>
        </w:rPr>
        <w:t>基层党建不断焕发活力</w:t>
      </w:r>
    </w:p>
    <w:p w14:paraId="588618C5">
      <w:pPr>
        <w:snapToGrid w:val="0"/>
        <w:spacing w:line="56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一是守阵地、强队伍，筑牢组织“桥头堡”。大力打造石仑关党建示范点，围绕红色主题精心开设系列党建课程，成立夏铎铺镇石仑关基层党校；围绕党的二十大精神</w:t>
      </w:r>
      <w:bookmarkStart w:id="0" w:name="_GoBack"/>
      <w:bookmarkEnd w:id="0"/>
      <w:r>
        <w:rPr>
          <w:rFonts w:hint="eastAsia" w:ascii="仿宋" w:hAnsi="仿宋" w:eastAsia="仿宋" w:cs="宋体"/>
          <w:color w:val="333333"/>
          <w:kern w:val="0"/>
          <w:sz w:val="30"/>
          <w:szCs w:val="30"/>
        </w:rPr>
        <w:t>专题，开展屋场会、志愿服务、微党课等多种形式的学习活动，进一步深耕党员干部思想“责任田”。充分发挥非公企业党组织的政治核心作用，新成立镇</w:t>
      </w:r>
      <w:r>
        <w:rPr>
          <w:rFonts w:hint="eastAsia" w:ascii="仿宋" w:hAnsi="仿宋" w:eastAsia="仿宋" w:cs="宋体"/>
          <w:color w:val="333333"/>
          <w:kern w:val="0"/>
          <w:sz w:val="30"/>
          <w:szCs w:val="30"/>
          <w:lang w:eastAsia="zh-CN"/>
        </w:rPr>
        <w:t>“两新”组织</w:t>
      </w:r>
      <w:r>
        <w:rPr>
          <w:rFonts w:hint="eastAsia" w:ascii="仿宋" w:hAnsi="仿宋" w:eastAsia="仿宋" w:cs="宋体"/>
          <w:color w:val="333333"/>
          <w:kern w:val="0"/>
          <w:sz w:val="30"/>
          <w:szCs w:val="30"/>
        </w:rPr>
        <w:t>党支部16个。持续建强党员干部队伍，全年发展党员9人，转正44人；先后组织协调党务骨干集训、党员冬春训等各类培训8场次1000余人次，全镇111人被评为市级或镇级优秀党务工作者、优秀共产党员。深入推进党风廉政建设，以清廉宁乡建设为契机，选取凤桥社区作为“清廉社区”、忘不了公司作为“清廉企业”建设点，打造市清廉精品路线，实现了清廉夏铎建设的一体化推进。二是抓落实、提质效，增强群众“向心力”。坚持在常态化推进党员“三亮三比”行动中服务群众、推进工作。2022年，全镇1174名联户党员和10名社会贤达全面下沉，确保全镇9316户群众全部覆盖到位；189名镇村网格干部全面下沉走访41轮，切实解决群众急难愁盼问题470个，主要事迹和做法被长沙市级以上媒体宣传报道8次；创新设置“为民驿站”实事墙，涌现了一批优秀网格干部和优秀党员典型，获得了省市级媒体的关注和报道，基层治理途径有效拓展，群众获得感不断提升。三是创载体、强引领，激发党建“新动能”。积极打造镇专属网上政务平台，深度开发“乡村钉”，深入探索“你钉我办”智慧管理模式，实现镇域推广下载全覆盖；坚持高质量党建引领高质量发展，推动“火把行动”走深走实，5000余名志愿者全年在疫情防控、文明创建、项目建设等多个领域开展活动156次，有效助推中心工作开展，夏铎铺综合文化站被评为“最美潇湘文化阵地”；着力构建“两新党建+乡村振兴”工作格局，引导4个村（社区）与9家“两新”组织开展共建，签署</w:t>
      </w:r>
      <w:r>
        <w:rPr>
          <w:rFonts w:hint="eastAsia" w:ascii="仿宋" w:hAnsi="仿宋" w:eastAsia="仿宋" w:cs="宋体"/>
          <w:color w:val="333333"/>
          <w:kern w:val="0"/>
          <w:sz w:val="30"/>
          <w:szCs w:val="30"/>
          <w:lang w:eastAsia="zh-CN"/>
        </w:rPr>
        <w:t>“两新”组织</w:t>
      </w:r>
      <w:r>
        <w:rPr>
          <w:rFonts w:hint="eastAsia" w:ascii="仿宋" w:hAnsi="仿宋" w:eastAsia="仿宋" w:cs="宋体"/>
          <w:color w:val="333333"/>
          <w:kern w:val="0"/>
          <w:sz w:val="30"/>
          <w:szCs w:val="30"/>
        </w:rPr>
        <w:t>助力乡村振兴协议11份，成功搭建“党建同创、助力振兴”主题实践活动平台，镇“党建+乡村振兴”主要做法被省委组织部《湘组研究》推介。</w:t>
      </w:r>
    </w:p>
    <w:p w14:paraId="2FC7F2F2">
      <w:pPr>
        <w:pStyle w:val="13"/>
        <w:numPr>
          <w:ilvl w:val="0"/>
          <w:numId w:val="1"/>
        </w:numPr>
        <w:snapToGrid w:val="0"/>
        <w:spacing w:line="560" w:lineRule="exact"/>
        <w:ind w:firstLineChars="0"/>
        <w:rPr>
          <w:rFonts w:ascii="仿宋" w:hAnsi="仿宋" w:eastAsia="仿宋" w:cs="宋体"/>
          <w:color w:val="333333"/>
          <w:kern w:val="0"/>
          <w:sz w:val="30"/>
          <w:szCs w:val="30"/>
        </w:rPr>
      </w:pPr>
      <w:r>
        <w:rPr>
          <w:rFonts w:hint="eastAsia" w:ascii="仿宋" w:hAnsi="仿宋" w:eastAsia="仿宋" w:cs="宋体"/>
          <w:color w:val="333333"/>
          <w:kern w:val="0"/>
          <w:sz w:val="30"/>
          <w:szCs w:val="30"/>
        </w:rPr>
        <w:t>经济发展基础更加牢固</w:t>
      </w:r>
    </w:p>
    <w:p w14:paraId="0096DB07">
      <w:pPr>
        <w:snapToGrid w:val="0"/>
        <w:spacing w:line="56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一是全力稳定经济运行。2022年，全镇实现规模工业总产值17.02亿元，地方一般公共预算收入7097万元，发展市场主体509家，完成年度任务的100%；固定资产投资16.19亿元，完成进度居全市乡镇第一位；社会消费品零售总额2.52亿元，较上年同期增长6.15%，增速位居全市前列。二是有序推进项目建设。主动融入金洲新城建设大局，服务域内大小项目建设，重点做好长宁磁悬浮快线、长吉高速、金桥大道等重点项目建设保障工作；加快推进全域土地综合整治和垃圾焚烧发电项目，坚持用好用活政策、以真以诚服务，切实减少群众对项目的抵触心理，完成了近120户群众签约，签约比例达九成，在提升群众“满意度”的同时助力项目建设跑出“加速度”。三是积极引导产业升级。持续推动个转企、小升规，培育新增规模以上工业企业；力促南方水泥转型、天马混凝土扩产，全力培养新税源企业，为下一轮发展积蓄能量。</w:t>
      </w:r>
    </w:p>
    <w:p w14:paraId="41220627">
      <w:pPr>
        <w:pStyle w:val="13"/>
        <w:numPr>
          <w:ilvl w:val="0"/>
          <w:numId w:val="1"/>
        </w:numPr>
        <w:spacing w:line="560" w:lineRule="exact"/>
        <w:ind w:firstLineChars="0"/>
        <w:rPr>
          <w:rFonts w:ascii="仿宋" w:hAnsi="仿宋" w:eastAsia="仿宋" w:cs="宋体"/>
          <w:color w:val="333333"/>
          <w:kern w:val="0"/>
          <w:sz w:val="30"/>
          <w:szCs w:val="30"/>
        </w:rPr>
      </w:pPr>
      <w:r>
        <w:rPr>
          <w:rFonts w:hint="eastAsia" w:ascii="仿宋" w:hAnsi="仿宋" w:eastAsia="仿宋" w:cs="宋体"/>
          <w:color w:val="333333"/>
          <w:kern w:val="0"/>
          <w:sz w:val="30"/>
          <w:szCs w:val="30"/>
        </w:rPr>
        <w:t>乡村振兴收获更实成效</w:t>
      </w:r>
    </w:p>
    <w:p w14:paraId="1B77A350">
      <w:pPr>
        <w:spacing w:line="56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一是培育产业、厚植优势，夯实农业产业增收基础。提升特色现代农业发展水平，推动绿叶水果冷链物流基地投产；精准开展抛荒治理和耕地复耕工作，完成复耕复垦土地1035.5亩，完成率为110.2%；强化惠农服务，发放补助2636.41万元；强化农田水利设施配套，投入236万元开展农业基础设施建设，建设高标准农田4500亩；强化人才梯队建设，培养新型职业农民35人，乡村工匠2人。2022年共完成双季稻种植任务8750亩，粮食种植面积相比2021年增长56.6%，成功创建万亩示范片区1个，由黄滔市长亲自主持召开全市粮食生产工作大会，省市各级领导先后莅临视察调研粮食生产工作，并被评为2022年度“市级粮食种植先进乡镇”。二是拓宽渠道、补齐短板，提速村级集体经济发展。进一步破解资源整合不足、增收路径单一等集体经济发展困境，实现2022年全镇9个村（社区）集体经济收入1068.47万元，较2021年增长132万元，夏铎铺镇获评“长沙市发展壮大新型村集体经济先进单位”。三是规划先行、多方发力，扎实开展美丽宜居村庄建设。2022年，镇党委聘请专业规划公司科学制定规划编制，积极开辟筹资渠道，广泛动员群众、乡贤筹资筹物，共计投入1200余万元，建成示范型屋场4个、达标型屋场4个，凤桥社区获评“长沙市乡村振兴示范创建先进单位”，群众满意度、幸福感均得到较大提升。</w:t>
      </w:r>
    </w:p>
    <w:p w14:paraId="1EF16D70">
      <w:pPr>
        <w:pStyle w:val="6"/>
        <w:shd w:val="clear" w:color="auto" w:fill="FFFFFF"/>
        <w:spacing w:before="0" w:beforeAutospacing="0" w:after="0" w:afterAutospacing="0" w:line="480" w:lineRule="auto"/>
        <w:rPr>
          <w:rFonts w:ascii="仿宋" w:hAnsi="仿宋" w:eastAsia="仿宋"/>
          <w:b/>
          <w:color w:val="333333"/>
          <w:sz w:val="30"/>
          <w:szCs w:val="30"/>
        </w:rPr>
      </w:pPr>
      <w:r>
        <w:rPr>
          <w:rFonts w:hint="eastAsia" w:ascii="仿宋" w:hAnsi="仿宋" w:eastAsia="仿宋"/>
          <w:color w:val="333333"/>
          <w:sz w:val="30"/>
          <w:szCs w:val="30"/>
        </w:rPr>
        <w:t>　　</w:t>
      </w:r>
      <w:r>
        <w:rPr>
          <w:rFonts w:hint="eastAsia" w:ascii="仿宋" w:hAnsi="仿宋" w:eastAsia="仿宋"/>
          <w:b/>
          <w:color w:val="333333"/>
          <w:sz w:val="30"/>
          <w:szCs w:val="30"/>
        </w:rPr>
        <w:t>（二）效益指标完成情况 </w:t>
      </w:r>
    </w:p>
    <w:p w14:paraId="7C36586A">
      <w:pPr>
        <w:pStyle w:val="6"/>
        <w:shd w:val="clear" w:color="auto" w:fill="FFFFFF"/>
        <w:spacing w:before="0" w:beforeAutospacing="0" w:after="0" w:afterAutospacing="0" w:line="480" w:lineRule="auto"/>
        <w:ind w:firstLine="540"/>
        <w:rPr>
          <w:rFonts w:ascii="仿宋" w:hAnsi="仿宋" w:eastAsia="仿宋"/>
          <w:color w:val="333333"/>
          <w:sz w:val="30"/>
          <w:szCs w:val="30"/>
        </w:rPr>
      </w:pPr>
      <w:r>
        <w:rPr>
          <w:rFonts w:hint="eastAsia" w:ascii="仿宋" w:hAnsi="仿宋" w:eastAsia="仿宋"/>
          <w:color w:val="333333"/>
          <w:sz w:val="30"/>
          <w:szCs w:val="30"/>
        </w:rPr>
        <w:t>我镇严格执行预算法，科学精细编制预算，重视预算编制基础工作，注重绩效管理，重点关注支出预算执行和政策目标落实情况，完善预算执行管理考核制度。规范财务流程，加强资金使用信息公开和公示制度建设，加强资金监管制度建设和执行，切实防范廉政风险，所有开支均按照财务管理制度执行，资金的使用严格把关，机关的日常工作运行得到保障。</w:t>
      </w:r>
      <w:r>
        <w:rPr>
          <w:rFonts w:ascii="仿宋" w:hAnsi="仿宋" w:eastAsia="仿宋"/>
          <w:color w:val="333333"/>
          <w:sz w:val="30"/>
          <w:szCs w:val="30"/>
        </w:rPr>
        <w:t>坚持防风险、重治理，保障镇域环境和谐稳定</w:t>
      </w:r>
      <w:r>
        <w:rPr>
          <w:rFonts w:hint="eastAsia" w:ascii="仿宋" w:hAnsi="仿宋" w:eastAsia="仿宋"/>
          <w:color w:val="333333"/>
          <w:sz w:val="30"/>
          <w:szCs w:val="30"/>
        </w:rPr>
        <w:t>。</w:t>
      </w:r>
    </w:p>
    <w:p w14:paraId="1CA030EF">
      <w:pPr>
        <w:snapToGrid w:val="0"/>
        <w:spacing w:line="56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一是坚持疫情防控常态化。严格落实上级关于疫情防控的各项要求，全年完成省市系统共计18993条电话信息核实，共摸排出管控人员8375人，有效保证了镇域项目建设、经济社会的同步发展。</w:t>
      </w:r>
    </w:p>
    <w:p w14:paraId="163A33C4">
      <w:pPr>
        <w:snapToGrid w:val="0"/>
        <w:spacing w:line="56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二是唱响平安建设主旋律。全面落实法治责任，开展扫黑除恶《</w:t>
      </w:r>
      <w:r>
        <w:rPr>
          <w:rFonts w:hint="eastAsia" w:ascii="仿宋" w:hAnsi="仿宋" w:eastAsia="仿宋" w:cs="宋体"/>
          <w:color w:val="333333"/>
          <w:kern w:val="0"/>
          <w:sz w:val="30"/>
          <w:szCs w:val="30"/>
          <w:lang w:eastAsia="zh-CN"/>
        </w:rPr>
        <w:t>中华人民共和国反有组织犯罪法</w:t>
      </w:r>
      <w:r>
        <w:rPr>
          <w:rFonts w:hint="eastAsia" w:ascii="仿宋" w:hAnsi="仿宋" w:eastAsia="仿宋" w:cs="宋体"/>
          <w:color w:val="333333"/>
          <w:kern w:val="0"/>
          <w:sz w:val="30"/>
          <w:szCs w:val="30"/>
        </w:rPr>
        <w:t>》宣传，发放宣传手册1000余份，发送法治建设相关短信50余万条；结合党员“三亮三比”行动推进反电诈工作，完成反电诈宣讲4场，实现全镇下载反电诈APP 超13000人，全年发案数同比2021年下降28%；深入开展未成年人保护和“利剑护蕾”专项行动，制定专项行动方案，在镇域内6所中小学校校门口设立举报箱，并通过微信三级塔群转发推送保护未成年人信息1140余条次。坚持强化矛盾纠纷调处，全年共调解纠纷124起，其中疑难复杂案件16起，重特大纠纷6起，调处率和成功率均为100%；落实信访工作首问责任制及信访室值班制度，按时完成湖南省信访系统交办件，信访总量逐年下降，回访满意率达100%，连续三年被评为长沙市信访工作“三无乡镇”；扎实开展党的二十大特护期信访维稳工作，对全镇重点人员进行摸排，明确了13名重点人员“五包一”稳控责任，先后解决香山新村组级征拆诉讼等多年积案，成功打赢党的二十大安保维稳攻坚战，被评为“长沙市信访先进单位”。</w:t>
      </w:r>
    </w:p>
    <w:p w14:paraId="52477631">
      <w:pPr>
        <w:snapToGrid w:val="0"/>
        <w:spacing w:line="56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三是打好安全生产攻坚战。全面落实安全生产“党政同责、一岗双责、失职追责”的安全生产责任体系，认真组织开展好安全宣传活动，点对点向群众发放安全生产、校车安全、消防安全、森林防火、食品安全等各类宣传资料1.2万余份；全面开展安全生产隐患大排查大整治，一年来领导带队检查共计100余次，排查隐患148处，目前已全部整改到位。开展自建房整治“百日攻坚”专项行动，排查录入房屋10628栋，经营性房屋664栋，均已按要求采取“改、停、封、拆”三类安全隐患整治措施；积极推进经营性房屋鉴定工作，已签订鉴定合同452户，完成鉴定452栋。强化道路交通安全管理，全年共召开屋场夜话45场，开展综合整治行动70次，摸排各类车辆8491台，排查隐患里程80余公里，21处事故多发路段全部治理完毕。</w:t>
      </w:r>
    </w:p>
    <w:p w14:paraId="2AA6FDF2">
      <w:pPr>
        <w:pStyle w:val="6"/>
        <w:shd w:val="clear" w:color="auto" w:fill="FFFFFF"/>
        <w:spacing w:before="0" w:beforeAutospacing="0" w:after="0" w:afterAutospacing="0" w:line="480" w:lineRule="auto"/>
        <w:rPr>
          <w:rFonts w:ascii="仿宋" w:hAnsi="仿宋" w:eastAsia="仿宋"/>
          <w:b/>
          <w:color w:val="333333"/>
          <w:sz w:val="30"/>
          <w:szCs w:val="30"/>
        </w:rPr>
      </w:pPr>
      <w:r>
        <w:rPr>
          <w:rFonts w:hint="eastAsia" w:ascii="仿宋" w:hAnsi="仿宋" w:eastAsia="仿宋"/>
          <w:color w:val="333333"/>
          <w:sz w:val="30"/>
          <w:szCs w:val="30"/>
        </w:rPr>
        <w:t>　　</w:t>
      </w:r>
      <w:r>
        <w:rPr>
          <w:rFonts w:hint="eastAsia" w:ascii="仿宋" w:hAnsi="仿宋" w:eastAsia="仿宋"/>
          <w:b/>
          <w:color w:val="333333"/>
          <w:sz w:val="30"/>
          <w:szCs w:val="30"/>
        </w:rPr>
        <w:t>（三）满意度指标完成情况 </w:t>
      </w:r>
    </w:p>
    <w:p w14:paraId="38987793">
      <w:pPr>
        <w:spacing w:line="52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2022年我单位较好</w:t>
      </w:r>
      <w:r>
        <w:rPr>
          <w:rFonts w:hint="eastAsia" w:ascii="仿宋" w:hAnsi="仿宋" w:eastAsia="仿宋" w:cs="宋体"/>
          <w:color w:val="333333"/>
          <w:kern w:val="0"/>
          <w:sz w:val="30"/>
          <w:szCs w:val="30"/>
          <w:lang w:eastAsia="zh-CN"/>
        </w:rPr>
        <w:t>地</w:t>
      </w:r>
      <w:r>
        <w:rPr>
          <w:rFonts w:hint="eastAsia" w:ascii="仿宋" w:hAnsi="仿宋" w:eastAsia="仿宋" w:cs="宋体"/>
          <w:color w:val="333333"/>
          <w:kern w:val="0"/>
          <w:sz w:val="30"/>
          <w:szCs w:val="30"/>
        </w:rPr>
        <w:t>完成了绩效目标任务，日常管理工作均按照我单位相关管理制度执行，建立了工作有计划、实施有方案、日常有监督的管理机制，工作取得了较好的成效，效能得到了提高、获得了社会公众的好评。群众满意度指标和可持续性指标均达标。 </w:t>
      </w:r>
      <w:r>
        <w:rPr>
          <w:rFonts w:ascii="仿宋" w:hAnsi="仿宋" w:eastAsia="仿宋" w:cs="宋体"/>
          <w:color w:val="333333"/>
          <w:kern w:val="0"/>
          <w:sz w:val="30"/>
          <w:szCs w:val="30"/>
        </w:rPr>
        <w:t>坚持惠民生、增福祉，用心用情践行为民初心</w:t>
      </w:r>
      <w:r>
        <w:rPr>
          <w:rFonts w:hint="eastAsia" w:ascii="仿宋" w:hAnsi="仿宋" w:eastAsia="仿宋" w:cs="宋体"/>
          <w:color w:val="333333"/>
          <w:kern w:val="0"/>
          <w:sz w:val="30"/>
          <w:szCs w:val="30"/>
        </w:rPr>
        <w:t>。</w:t>
      </w:r>
    </w:p>
    <w:p w14:paraId="6B7F7C7C">
      <w:pPr>
        <w:spacing w:line="56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一是关注“衣食住行”，守好“民生底线”。持续抓好社会保障，强化脱贫攻坚成果巩固。2022年，全镇城乡低保累计救助2241户171.3万余元，特困累计救助3016户295.7万余元；组织人员对全镇430户已脱贫户、28户防返贫监测户进行住房安全鉴定，强化四类人员住房安全保障；积极开展“爱心宁乡”帮扶工程活动，引导市巡察办、市融媒体中心、夏铎铺镇商会与全镇91户爱心帮扶对象结对帮扶；444户脱贫户、监测户总体收入较2021年提高15.1%，人均收入达到18426元。</w:t>
      </w:r>
    </w:p>
    <w:p w14:paraId="7F86FCD4">
      <w:pPr>
        <w:spacing w:line="56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二是关爱“生老病死”，保障“民生基础”。强力推进医保养保工作，持续完善老年友好型体系建设，2022年全年发放高龄津贴140万元，夏铎铺镇敬老院被评为“长沙市三级养老机构”；持续优化民生工程项目，投入200多万元支持宁乡市消化专科医院设备升级，2022年消化专科门诊累计接诊4502人次，病房住院925人次，镇域群众就医便捷度、诊疗精准度均得到有效提升。</w:t>
      </w:r>
    </w:p>
    <w:p w14:paraId="1B1F1CB2">
      <w:pPr>
        <w:spacing w:line="560" w:lineRule="exact"/>
        <w:ind w:firstLine="600" w:firstLineChars="200"/>
        <w:rPr>
          <w:rFonts w:ascii="仿宋" w:hAnsi="仿宋" w:eastAsia="仿宋" w:cs="宋体"/>
          <w:color w:val="333333"/>
          <w:kern w:val="0"/>
          <w:sz w:val="30"/>
          <w:szCs w:val="30"/>
        </w:rPr>
      </w:pPr>
      <w:r>
        <w:rPr>
          <w:rFonts w:hint="eastAsia" w:ascii="仿宋" w:hAnsi="仿宋" w:eastAsia="仿宋" w:cs="宋体"/>
          <w:color w:val="333333"/>
          <w:kern w:val="0"/>
          <w:sz w:val="30"/>
          <w:szCs w:val="30"/>
        </w:rPr>
        <w:t>三是关切“安居乐业”，抓牢“民生热点”。全力稳就业，申报2022年度灵活就业的困难人员社保、医保补贴315人次，补贴金额88.6万元；举办职业技能培训4期150人次，对失业人员进行“311”就业服务率达100%，助力302人就业。优化政务服务，动员4200多名群众下载“一件事一次办”微信小程序，切实做到让“数据跑”代替群众跑。及时妥善回应群众诉求，全年办理12345工单共计335个，办理满意率达99%。建设生态宜居乡村，扎实开展农村“新三大革命”，创新人居环境整治工作机制，采取“专项整治+日常保洁+宣传引导”模式，长效保持了人居环境整治成果；围绕七大健康元素全力开展“国家健康乡镇”创建工作，在长沙市开展的“国家健康乡镇”试点单位验收中跻身一类。</w:t>
      </w:r>
    </w:p>
    <w:p w14:paraId="269090CE">
      <w:pPr>
        <w:widowControl/>
        <w:shd w:val="clear" w:color="auto" w:fill="FFFFFF"/>
        <w:spacing w:before="204" w:line="560" w:lineRule="exact"/>
        <w:ind w:firstLine="600" w:firstLineChars="200"/>
        <w:jc w:val="left"/>
        <w:rPr>
          <w:rFonts w:ascii="黑体" w:hAnsi="黑体" w:eastAsia="黑体" w:cs="宋体"/>
          <w:color w:val="010101"/>
          <w:kern w:val="0"/>
          <w:sz w:val="30"/>
          <w:szCs w:val="30"/>
        </w:rPr>
      </w:pPr>
      <w:r>
        <w:rPr>
          <w:rFonts w:hint="eastAsia" w:ascii="黑体" w:hAnsi="黑体" w:eastAsia="黑体" w:cs="宋体"/>
          <w:color w:val="010101"/>
          <w:kern w:val="0"/>
          <w:sz w:val="30"/>
          <w:szCs w:val="30"/>
        </w:rPr>
        <w:t>六、存在的主要问题</w:t>
      </w:r>
    </w:p>
    <w:p w14:paraId="06141DC6">
      <w:pPr>
        <w:pStyle w:val="6"/>
        <w:spacing w:before="0" w:beforeAutospacing="0" w:after="0" w:afterAutospacing="0" w:line="560" w:lineRule="exact"/>
        <w:ind w:firstLine="600" w:firstLineChars="200"/>
        <w:textAlignment w:val="center"/>
        <w:rPr>
          <w:rFonts w:ascii="仿宋" w:hAnsi="仿宋" w:eastAsia="仿宋"/>
          <w:color w:val="333333"/>
          <w:sz w:val="30"/>
          <w:szCs w:val="30"/>
        </w:rPr>
      </w:pPr>
      <w:r>
        <w:rPr>
          <w:rFonts w:hint="eastAsia" w:ascii="仿宋" w:hAnsi="仿宋" w:eastAsia="仿宋"/>
          <w:color w:val="333333"/>
          <w:sz w:val="30"/>
          <w:szCs w:val="30"/>
        </w:rPr>
        <w:t>在取得工作成绩的同时，我们的工作还存在很多不足和问题，面临不少困难和挑战。</w:t>
      </w:r>
    </w:p>
    <w:p w14:paraId="4A1CA465">
      <w:pPr>
        <w:widowControl/>
        <w:shd w:val="clear" w:color="auto" w:fill="FFFFFF"/>
        <w:spacing w:line="560" w:lineRule="exact"/>
        <w:ind w:firstLine="640"/>
        <w:jc w:val="left"/>
        <w:rPr>
          <w:rFonts w:ascii="仿宋" w:hAnsi="仿宋" w:eastAsia="仿宋" w:cs="宋体"/>
          <w:color w:val="333333"/>
          <w:kern w:val="0"/>
          <w:sz w:val="30"/>
          <w:szCs w:val="30"/>
        </w:rPr>
      </w:pPr>
      <w:r>
        <w:rPr>
          <w:rFonts w:hint="eastAsia" w:ascii="仿宋" w:hAnsi="仿宋" w:eastAsia="仿宋" w:cs="宋体"/>
          <w:color w:val="333333"/>
          <w:kern w:val="0"/>
          <w:sz w:val="30"/>
          <w:szCs w:val="30"/>
        </w:rPr>
        <w:t>一、绩效评价工作机制有待进一步完善，由于对绩效评价工作的重视不够，绩效管理工作容易滞后，未形成对绩效目标进行管理的有效的工作机制，导致项目预算不精细，年终预算调整幅度大，绩效评价的专业要求高，财务人员操作困难，绩效评价的结果运用不明显。</w:t>
      </w:r>
    </w:p>
    <w:p w14:paraId="6F1DC233">
      <w:pPr>
        <w:widowControl/>
        <w:shd w:val="clear" w:color="auto" w:fill="FFFFFF"/>
        <w:spacing w:line="560" w:lineRule="exact"/>
        <w:ind w:firstLine="480"/>
        <w:jc w:val="left"/>
        <w:rPr>
          <w:rFonts w:ascii="仿宋" w:hAnsi="仿宋" w:eastAsia="仿宋" w:cs="宋体"/>
          <w:color w:val="333333"/>
          <w:kern w:val="0"/>
          <w:sz w:val="30"/>
          <w:szCs w:val="30"/>
        </w:rPr>
      </w:pPr>
      <w:r>
        <w:rPr>
          <w:rFonts w:hint="eastAsia" w:ascii="仿宋" w:hAnsi="仿宋" w:eastAsia="仿宋" w:cs="宋体"/>
          <w:color w:val="333333"/>
          <w:kern w:val="0"/>
          <w:sz w:val="30"/>
          <w:szCs w:val="30"/>
        </w:rPr>
        <w:t>二、财政平衡压力较大，绩效评价效果不佳。由于财政收入来源少、结构不够合理，地方可用财力增长有限，随着促发展、惠民生、保稳定等各项刚性支出和新增投入的不断增加，政府财力远远满足不了各项支出的需求，全年财政收支平衡压力大，预算项目的前瞻性不够和不可预计性事项的发生，无法及时监控预算绩效目标实施情况。</w:t>
      </w:r>
    </w:p>
    <w:p w14:paraId="125C5C4D">
      <w:pPr>
        <w:widowControl/>
        <w:shd w:val="clear" w:color="auto" w:fill="FFFFFF"/>
        <w:spacing w:line="560" w:lineRule="exact"/>
        <w:ind w:firstLine="480"/>
        <w:jc w:val="left"/>
        <w:rPr>
          <w:rFonts w:ascii="仿宋" w:hAnsi="仿宋" w:eastAsia="仿宋" w:cs="宋体"/>
          <w:color w:val="333333"/>
          <w:kern w:val="0"/>
          <w:sz w:val="30"/>
          <w:szCs w:val="30"/>
        </w:rPr>
      </w:pPr>
      <w:r>
        <w:rPr>
          <w:rFonts w:hint="eastAsia" w:ascii="仿宋" w:hAnsi="仿宋" w:eastAsia="仿宋" w:cs="宋体"/>
          <w:color w:val="333333"/>
          <w:kern w:val="0"/>
          <w:sz w:val="30"/>
          <w:szCs w:val="30"/>
        </w:rPr>
        <w:t>三、政府和财务部门在部门整体支出的资金安排和使用上仍有不可预见性，在实际工作中有资金延迟到位的情况。</w:t>
      </w:r>
    </w:p>
    <w:p w14:paraId="222C0217">
      <w:pPr>
        <w:widowControl/>
        <w:shd w:val="clear" w:color="auto" w:fill="FFFFFF"/>
        <w:spacing w:before="204" w:line="560" w:lineRule="exact"/>
        <w:ind w:firstLine="600" w:firstLineChars="200"/>
        <w:jc w:val="left"/>
        <w:rPr>
          <w:rFonts w:ascii="黑体" w:hAnsi="黑体" w:eastAsia="黑体" w:cs="宋体"/>
          <w:color w:val="010101"/>
          <w:kern w:val="0"/>
          <w:sz w:val="30"/>
          <w:szCs w:val="30"/>
        </w:rPr>
      </w:pPr>
      <w:r>
        <w:rPr>
          <w:rFonts w:hint="eastAsia" w:ascii="黑体" w:hAnsi="黑体" w:eastAsia="黑体" w:cs="宋体"/>
          <w:color w:val="010101"/>
          <w:kern w:val="0"/>
          <w:sz w:val="30"/>
          <w:szCs w:val="30"/>
        </w:rPr>
        <w:t>七、改进措施和有关建议</w:t>
      </w:r>
    </w:p>
    <w:p w14:paraId="5B106288">
      <w:pPr>
        <w:widowControl/>
        <w:shd w:val="clear" w:color="auto" w:fill="FFFFFF"/>
        <w:spacing w:line="560" w:lineRule="exact"/>
        <w:ind w:firstLine="641"/>
        <w:jc w:val="left"/>
        <w:rPr>
          <w:rFonts w:ascii="仿宋" w:hAnsi="仿宋" w:eastAsia="仿宋" w:cs="宋体"/>
          <w:color w:val="333333"/>
          <w:kern w:val="0"/>
          <w:sz w:val="30"/>
          <w:szCs w:val="30"/>
        </w:rPr>
      </w:pPr>
      <w:r>
        <w:rPr>
          <w:rFonts w:hint="eastAsia" w:ascii="仿宋" w:hAnsi="仿宋" w:eastAsia="仿宋" w:cs="宋体"/>
          <w:color w:val="333333"/>
          <w:kern w:val="0"/>
          <w:sz w:val="30"/>
          <w:szCs w:val="30"/>
        </w:rPr>
        <w:t>一、建议政府在平时工作中进一步加强对绩效目标监控的重视，定期对预算执行情况进行监督，使绩效目标监控与政府工作、财务工作挂钩，做到及时监控，及时控制，避免疏忽。</w:t>
      </w:r>
    </w:p>
    <w:p w14:paraId="5E05F06A">
      <w:pPr>
        <w:widowControl/>
        <w:shd w:val="clear" w:color="auto" w:fill="FFFFFF"/>
        <w:spacing w:line="560" w:lineRule="exact"/>
        <w:ind w:firstLine="641"/>
        <w:jc w:val="left"/>
        <w:rPr>
          <w:rFonts w:ascii="仿宋" w:hAnsi="仿宋" w:eastAsia="仿宋" w:cs="宋体"/>
          <w:color w:val="333333"/>
          <w:kern w:val="0"/>
          <w:sz w:val="30"/>
          <w:szCs w:val="30"/>
        </w:rPr>
      </w:pPr>
      <w:r>
        <w:rPr>
          <w:rFonts w:hint="eastAsia" w:ascii="仿宋" w:hAnsi="仿宋" w:eastAsia="仿宋" w:cs="宋体"/>
          <w:color w:val="333333"/>
          <w:kern w:val="0"/>
          <w:sz w:val="30"/>
          <w:szCs w:val="30"/>
        </w:rPr>
        <w:t>二、加强各部门衔接，使预算绩效目标实施进度得到及时反馈，便于及时汇总监控。</w:t>
      </w:r>
    </w:p>
    <w:p w14:paraId="4AE8282F">
      <w:pPr>
        <w:widowControl/>
        <w:shd w:val="clear" w:color="auto" w:fill="FFFFFF"/>
        <w:spacing w:line="560" w:lineRule="exact"/>
        <w:ind w:firstLine="641"/>
        <w:jc w:val="left"/>
        <w:rPr>
          <w:rFonts w:ascii="仿宋" w:hAnsi="仿宋" w:eastAsia="仿宋" w:cs="宋体"/>
          <w:color w:val="333333"/>
          <w:kern w:val="0"/>
          <w:sz w:val="30"/>
          <w:szCs w:val="30"/>
        </w:rPr>
      </w:pPr>
      <w:r>
        <w:rPr>
          <w:rFonts w:hint="eastAsia" w:ascii="仿宋" w:hAnsi="仿宋" w:eastAsia="仿宋" w:cs="宋体"/>
          <w:color w:val="333333"/>
          <w:kern w:val="0"/>
          <w:sz w:val="30"/>
          <w:szCs w:val="30"/>
        </w:rPr>
        <w:t>三、设置合理有效的绩效目标监控机制，科学设置预算绩效指标，合理安排经费和各项资金，使其物尽其用，更加贴合乡镇财务工作的实际情况，能够合理运用现有资源，及时协调上级争取资金保证各预算绩效指标的顺利实施。使绩效评价更客观全面，更能为发展政府经济，保障民生起到积极有效的作用。</w:t>
      </w:r>
    </w:p>
    <w:p w14:paraId="53239231">
      <w:pPr>
        <w:widowControl/>
        <w:shd w:val="clear" w:color="auto" w:fill="FFFFFF"/>
        <w:spacing w:before="204" w:line="560" w:lineRule="exact"/>
        <w:ind w:firstLine="480"/>
        <w:jc w:val="left"/>
        <w:rPr>
          <w:rFonts w:ascii="仿宋" w:hAnsi="仿宋" w:eastAsia="仿宋" w:cs="宋体"/>
          <w:color w:val="333333"/>
          <w:kern w:val="0"/>
          <w:sz w:val="30"/>
          <w:szCs w:val="30"/>
        </w:rPr>
      </w:pPr>
    </w:p>
    <w:p w14:paraId="04A3B4AF">
      <w:pPr>
        <w:jc w:val="right"/>
        <w:rPr>
          <w:rFonts w:ascii="仿宋" w:hAnsi="仿宋" w:eastAsia="仿宋" w:cs="宋体"/>
          <w:color w:val="333333"/>
          <w:kern w:val="0"/>
          <w:sz w:val="30"/>
          <w:szCs w:val="30"/>
        </w:rPr>
      </w:pPr>
      <w:r>
        <w:rPr>
          <w:rFonts w:hint="eastAsia" w:ascii="仿宋" w:hAnsi="仿宋" w:eastAsia="仿宋" w:cs="宋体"/>
          <w:color w:val="333333"/>
          <w:kern w:val="0"/>
          <w:sz w:val="30"/>
          <w:szCs w:val="30"/>
        </w:rPr>
        <w:t>宁乡市夏铎铺镇人民政府</w:t>
      </w:r>
    </w:p>
    <w:p w14:paraId="5303EE9C">
      <w:pPr>
        <w:ind w:right="600"/>
        <w:jc w:val="right"/>
        <w:rPr>
          <w:rFonts w:ascii="仿宋" w:hAnsi="仿宋" w:eastAsia="仿宋" w:cs="宋体"/>
          <w:color w:val="333333"/>
          <w:kern w:val="0"/>
          <w:sz w:val="30"/>
          <w:szCs w:val="30"/>
        </w:rPr>
      </w:pPr>
      <w:r>
        <w:rPr>
          <w:rFonts w:hint="eastAsia" w:ascii="仿宋" w:hAnsi="仿宋" w:eastAsia="仿宋" w:cs="宋体"/>
          <w:color w:val="333333"/>
          <w:kern w:val="0"/>
          <w:sz w:val="30"/>
          <w:szCs w:val="30"/>
        </w:rPr>
        <w:t>2023年4月</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8904"/>
      <w:docPartObj>
        <w:docPartGallery w:val="autotext"/>
      </w:docPartObj>
    </w:sdtPr>
    <w:sdtContent>
      <w:p w14:paraId="5FFEB565">
        <w:pPr>
          <w:pStyle w:val="4"/>
          <w:jc w:val="center"/>
        </w:pPr>
        <w:r>
          <w:fldChar w:fldCharType="begin"/>
        </w:r>
        <w:r>
          <w:instrText xml:space="preserve"> PAGE   \* MERGEFORMAT </w:instrText>
        </w:r>
        <w:r>
          <w:fldChar w:fldCharType="separate"/>
        </w:r>
        <w:r>
          <w:rPr>
            <w:lang w:val="zh-CN"/>
          </w:rPr>
          <w:t>13</w:t>
        </w:r>
        <w:r>
          <w:rPr>
            <w:lang w:val="zh-CN"/>
          </w:rPr>
          <w:fldChar w:fldCharType="end"/>
        </w:r>
      </w:p>
    </w:sdtContent>
  </w:sdt>
  <w:p w14:paraId="64EE0B63">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3F2959"/>
    <w:multiLevelType w:val="multilevel"/>
    <w:tmpl w:val="553F2959"/>
    <w:lvl w:ilvl="0" w:tentative="0">
      <w:start w:val="1"/>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NmVlYzNkNWU1NTZjYmI4NGFjMTYzY2UwNzU1ZGYifQ=="/>
    <w:docVar w:name="KSO_WPS_MARK_KEY" w:val="7330f8fc-49c6-4e43-a4a2-6da52fa1db99"/>
  </w:docVars>
  <w:rsids>
    <w:rsidRoot w:val="00254A78"/>
    <w:rsid w:val="00000E7F"/>
    <w:rsid w:val="000311F7"/>
    <w:rsid w:val="00090259"/>
    <w:rsid w:val="000B32D5"/>
    <w:rsid w:val="000D1756"/>
    <w:rsid w:val="000E45BE"/>
    <w:rsid w:val="00120198"/>
    <w:rsid w:val="00182A3F"/>
    <w:rsid w:val="001C2878"/>
    <w:rsid w:val="001D3246"/>
    <w:rsid w:val="00202D7C"/>
    <w:rsid w:val="002139DE"/>
    <w:rsid w:val="002423D4"/>
    <w:rsid w:val="00254A78"/>
    <w:rsid w:val="00284127"/>
    <w:rsid w:val="002B7403"/>
    <w:rsid w:val="002D1C8B"/>
    <w:rsid w:val="00320CDF"/>
    <w:rsid w:val="00362B5A"/>
    <w:rsid w:val="00376A35"/>
    <w:rsid w:val="00397381"/>
    <w:rsid w:val="00450DC7"/>
    <w:rsid w:val="004E5698"/>
    <w:rsid w:val="005821F1"/>
    <w:rsid w:val="00586728"/>
    <w:rsid w:val="00596820"/>
    <w:rsid w:val="005A4CB3"/>
    <w:rsid w:val="005B2EF6"/>
    <w:rsid w:val="005D71C5"/>
    <w:rsid w:val="005E3818"/>
    <w:rsid w:val="00603D5F"/>
    <w:rsid w:val="0064685D"/>
    <w:rsid w:val="0067467F"/>
    <w:rsid w:val="00696FF4"/>
    <w:rsid w:val="007044E0"/>
    <w:rsid w:val="00716578"/>
    <w:rsid w:val="0075093C"/>
    <w:rsid w:val="00760721"/>
    <w:rsid w:val="0078218C"/>
    <w:rsid w:val="007A1B74"/>
    <w:rsid w:val="00806DC0"/>
    <w:rsid w:val="00847EB0"/>
    <w:rsid w:val="00875961"/>
    <w:rsid w:val="008F2B27"/>
    <w:rsid w:val="009364F1"/>
    <w:rsid w:val="009A591F"/>
    <w:rsid w:val="009D478B"/>
    <w:rsid w:val="00A20B54"/>
    <w:rsid w:val="00A91A7D"/>
    <w:rsid w:val="00AD6557"/>
    <w:rsid w:val="00AE6C83"/>
    <w:rsid w:val="00B03E51"/>
    <w:rsid w:val="00B05AEE"/>
    <w:rsid w:val="00B13A62"/>
    <w:rsid w:val="00B244F4"/>
    <w:rsid w:val="00B544DD"/>
    <w:rsid w:val="00B917A5"/>
    <w:rsid w:val="00BA2E6D"/>
    <w:rsid w:val="00BF30AA"/>
    <w:rsid w:val="00C85FB8"/>
    <w:rsid w:val="00D523ED"/>
    <w:rsid w:val="00E203E5"/>
    <w:rsid w:val="00E24BB0"/>
    <w:rsid w:val="00E44473"/>
    <w:rsid w:val="00E46B9E"/>
    <w:rsid w:val="00EE5235"/>
    <w:rsid w:val="00F25796"/>
    <w:rsid w:val="00F65430"/>
    <w:rsid w:val="00F67448"/>
    <w:rsid w:val="00FA0B68"/>
    <w:rsid w:val="00FC2E42"/>
    <w:rsid w:val="00FE0C59"/>
    <w:rsid w:val="00FE32FA"/>
    <w:rsid w:val="00FF63DF"/>
    <w:rsid w:val="21FE7A9C"/>
    <w:rsid w:val="38CE2B46"/>
    <w:rsid w:val="5AA23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9"/>
    <w:unhideWhenUsed/>
    <w:qFormat/>
    <w:uiPriority w:val="0"/>
    <w:rPr>
      <w:rFonts w:ascii="宋体" w:hAnsi="Courier New" w:eastAsia="宋体" w:cs="Courier New"/>
      <w:szCs w:val="21"/>
    </w:r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纯文本 Char"/>
    <w:basedOn w:val="8"/>
    <w:link w:val="2"/>
    <w:qFormat/>
    <w:uiPriority w:val="0"/>
    <w:rPr>
      <w:rFonts w:ascii="宋体" w:hAnsi="Courier New" w:eastAsia="宋体" w:cs="Courier New"/>
      <w:szCs w:val="21"/>
    </w:rPr>
  </w:style>
  <w:style w:type="character" w:customStyle="1" w:styleId="10">
    <w:name w:val="批注框文本 Char"/>
    <w:basedOn w:val="8"/>
    <w:link w:val="3"/>
    <w:semiHidden/>
    <w:uiPriority w:val="99"/>
    <w:rPr>
      <w:sz w:val="18"/>
      <w:szCs w:val="18"/>
    </w:rPr>
  </w:style>
  <w:style w:type="character" w:customStyle="1" w:styleId="11">
    <w:name w:val="页眉 Char"/>
    <w:basedOn w:val="8"/>
    <w:link w:val="5"/>
    <w:semiHidden/>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7291</Words>
  <Characters>7792</Characters>
  <Lines>56</Lines>
  <Paragraphs>15</Paragraphs>
  <TotalTime>519</TotalTime>
  <ScaleCrop>false</ScaleCrop>
  <LinksUpToDate>false</LinksUpToDate>
  <CharactersWithSpaces>7847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2021-03-23T05:53:00Z</dcterms:created>
  <dc:creator>Administrator</dc:creator>
  <cp:lastModifiedBy>郝新宇</cp:lastModifiedBy>
  <cp:lastPrinted>2023-05-05T03:53:00Z</cp:lastPrinted>
  <dcterms:modified xsi:type="dcterms:W3CDTF">2025-10-20T03:36:52Z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745547E9A32F41E08031E9C8AAA2358F_13</vt:lpwstr>
  </property>
  <property fmtid="{D5CDD505-2E9C-101B-9397-08002B2CF9AE}" pid="4" name="KSOTemplateDocerSaveRecord">
    <vt:lpwstr>eyJoZGlkIjoiY2I1NDkzYWVlM2ViMGU0NTRlNmQ3OTExM2ZkZDA0MzQiLCJ1c2VySWQiOiIxNDgxMDU2ODk1In0=</vt:lpwstr>
  </property>
</Properties>
</file>