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line="450" w:lineRule="atLeast"/>
        <w:jc w:val="center"/>
        <w:rPr>
          <w:rFonts w:hint="default"/>
          <w:sz w:val="44"/>
          <w:szCs w:val="44"/>
        </w:rPr>
      </w:pPr>
      <w:r>
        <w:rPr>
          <w:rFonts w:hint="eastAsia" w:ascii="方正小标宋简体" w:hAnsi="方正小标宋简体" w:eastAsia="方正小标宋简体" w:cs="方正小标宋简体"/>
          <w:sz w:val="44"/>
          <w:szCs w:val="44"/>
          <w:lang w:val="en-US" w:eastAsia="zh-CN"/>
        </w:rPr>
        <w:t>2021年</w:t>
      </w:r>
      <w:r>
        <w:rPr>
          <w:rFonts w:hint="default" w:ascii="方正小标宋简体" w:hAnsi="方正小标宋简体" w:eastAsia="方正小标宋简体" w:cs="方正小标宋简体"/>
          <w:sz w:val="44"/>
          <w:szCs w:val="44"/>
        </w:rPr>
        <w:t>部门整体支出效自评报告</w:t>
      </w:r>
    </w:p>
    <w:p>
      <w:pPr>
        <w:pStyle w:val="11"/>
        <w:widowControl/>
        <w:spacing w:line="435" w:lineRule="atLeast"/>
        <w:ind w:firstLine="555"/>
        <w:rPr>
          <w:rFonts w:hint="default" w:ascii="仿宋" w:hAnsi="仿宋" w:eastAsia="仿宋"/>
          <w:b/>
          <w:bCs/>
          <w:sz w:val="28"/>
          <w:szCs w:val="28"/>
        </w:rPr>
      </w:pPr>
      <w:r>
        <w:rPr>
          <w:rFonts w:ascii="仿宋" w:hAnsi="仿宋" w:eastAsia="仿宋" w:cs="黑体"/>
          <w:b/>
          <w:bCs/>
          <w:sz w:val="28"/>
          <w:szCs w:val="28"/>
        </w:rPr>
        <w:t>一、部门概况</w:t>
      </w:r>
      <w:bookmarkStart w:id="0" w:name="_GoBack"/>
      <w:bookmarkEnd w:id="0"/>
    </w:p>
    <w:p>
      <w:pPr>
        <w:pStyle w:val="11"/>
        <w:widowControl/>
        <w:spacing w:line="435" w:lineRule="atLeast"/>
        <w:ind w:firstLine="555"/>
        <w:rPr>
          <w:rFonts w:hint="default" w:ascii="仿宋" w:hAnsi="仿宋" w:eastAsia="仿宋"/>
          <w:sz w:val="28"/>
          <w:szCs w:val="28"/>
        </w:rPr>
      </w:pPr>
      <w:r>
        <w:rPr>
          <w:rStyle w:val="15"/>
          <w:rFonts w:ascii="仿宋" w:hAnsi="仿宋" w:eastAsia="仿宋" w:cs="楷体_GB2312"/>
          <w:b w:val="0"/>
          <w:sz w:val="28"/>
          <w:szCs w:val="28"/>
        </w:rPr>
        <w:t>（一）部门基本情况</w:t>
      </w:r>
    </w:p>
    <w:p>
      <w:pPr>
        <w:pStyle w:val="11"/>
        <w:widowControl/>
        <w:spacing w:line="435" w:lineRule="atLeast"/>
        <w:ind w:firstLine="555"/>
        <w:rPr>
          <w:rFonts w:hint="default" w:ascii="仿宋" w:hAnsi="仿宋" w:eastAsia="仿宋"/>
          <w:sz w:val="28"/>
          <w:szCs w:val="28"/>
        </w:rPr>
      </w:pPr>
      <w:r>
        <w:rPr>
          <w:rStyle w:val="15"/>
          <w:rFonts w:hint="default" w:ascii="仿宋" w:hAnsi="仿宋" w:eastAsia="仿宋"/>
          <w:b w:val="0"/>
          <w:sz w:val="28"/>
          <w:szCs w:val="28"/>
        </w:rPr>
        <w:t>1</w:t>
      </w:r>
      <w:r>
        <w:rPr>
          <w:rStyle w:val="15"/>
          <w:rFonts w:ascii="仿宋" w:hAnsi="仿宋" w:eastAsia="仿宋" w:cs="仿宋_GB2312"/>
          <w:b w:val="0"/>
          <w:sz w:val="28"/>
          <w:szCs w:val="28"/>
        </w:rPr>
        <w:t>．职能职责</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1</w:t>
      </w:r>
      <w:r>
        <w:rPr>
          <w:rFonts w:hint="default" w:ascii="仿宋" w:hAnsi="仿宋" w:eastAsia="仿宋" w:cs="仿宋_GB2312"/>
          <w:sz w:val="28"/>
          <w:szCs w:val="28"/>
        </w:rPr>
        <w:t>）执行上级国家行政机关的决定、命令和国家制定的法令、法规。</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2</w:t>
      </w:r>
      <w:r>
        <w:rPr>
          <w:rFonts w:hint="default" w:ascii="仿宋" w:hAnsi="仿宋" w:eastAsia="仿宋" w:cs="仿宋_GB2312"/>
          <w:sz w:val="28"/>
          <w:szCs w:val="28"/>
        </w:rPr>
        <w:t>）制定并落实本行政区域的经济计划和措施，促进产业结构调整及其他经济保持平衡协调发展，全面提高人民群众的生活水平和生活质量。</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3</w:t>
      </w:r>
      <w:r>
        <w:rPr>
          <w:rFonts w:hint="default" w:ascii="仿宋" w:hAnsi="仿宋" w:eastAsia="仿宋" w:cs="仿宋_GB2312"/>
          <w:sz w:val="28"/>
          <w:szCs w:val="28"/>
        </w:rPr>
        <w:t>）承担国有资产、集体资产管理、监督及增值保值责任;保护公民私人所有合法财产，保障集体经济组织应有的自主权;监督企业和各种经济联合体、个体户认真执行国家的法律、法令和政策，履行经济合同。</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4</w:t>
      </w:r>
      <w:r>
        <w:rPr>
          <w:rFonts w:hint="default" w:ascii="仿宋" w:hAnsi="仿宋" w:eastAsia="仿宋" w:cs="仿宋_GB2312"/>
          <w:sz w:val="28"/>
          <w:szCs w:val="28"/>
        </w:rPr>
        <w:t>）开展社会主义民主和法制的宣传教育，保障公民的权利;制定社会治安综合治理工作规划并组织实施;加强社区管理工作，依法管理外来流动人口，处理人民来信来访，调解民间纠纷，打击违法犯罪，维护社会稳定。</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5</w:t>
      </w:r>
      <w:r>
        <w:rPr>
          <w:rFonts w:hint="default" w:ascii="仿宋" w:hAnsi="仿宋" w:eastAsia="仿宋" w:cs="仿宋_GB2312"/>
          <w:sz w:val="28"/>
          <w:szCs w:val="28"/>
        </w:rPr>
        <w:t>）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6</w:t>
      </w:r>
      <w:r>
        <w:rPr>
          <w:rFonts w:hint="default" w:ascii="仿宋" w:hAnsi="仿宋" w:eastAsia="仿宋" w:cs="仿宋_GB2312"/>
          <w:sz w:val="28"/>
          <w:szCs w:val="28"/>
        </w:rPr>
        <w:t>）加强街道财政的监督和管理，按计划组织、管理镇财政收入和支出，执行国家有关财经纪律和政策，保证国家财政收入的完成;做好统计工作。</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7</w:t>
      </w:r>
      <w:r>
        <w:rPr>
          <w:rFonts w:hint="default" w:ascii="仿宋" w:hAnsi="仿宋" w:eastAsia="仿宋" w:cs="仿宋_GB2312"/>
          <w:sz w:val="28"/>
          <w:szCs w:val="28"/>
        </w:rPr>
        <w:t>）指导、支持、帮助居民委员会的组织制度建设和业务建设。</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8</w:t>
      </w:r>
      <w:r>
        <w:rPr>
          <w:rFonts w:hint="default" w:ascii="仿宋" w:hAnsi="仿宋" w:eastAsia="仿宋" w:cs="仿宋_GB2312"/>
          <w:sz w:val="28"/>
          <w:szCs w:val="28"/>
        </w:rPr>
        <w:t>）制定和组织实施社区建设规划;加强公用、市政设施、水利建设和管理以及房屋土地管理和环境综合整治工作，保护和改善生活环境和生态环境。</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9</w:t>
      </w:r>
      <w:r>
        <w:rPr>
          <w:rFonts w:hint="default" w:ascii="仿宋" w:hAnsi="仿宋" w:eastAsia="仿宋" w:cs="仿宋_GB2312"/>
          <w:sz w:val="28"/>
          <w:szCs w:val="28"/>
        </w:rPr>
        <w:t>）协助和支持设置在本行政区域内不隶属于街道的国家机关和企事业单位工作，监督其遵守和执行国家的法律、法规和政策。</w:t>
      </w:r>
    </w:p>
    <w:p>
      <w:pPr>
        <w:pStyle w:val="11"/>
        <w:widowControl/>
        <w:spacing w:line="435" w:lineRule="atLeast"/>
        <w:ind w:left="420" w:firstLine="13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10</w:t>
      </w:r>
      <w:r>
        <w:rPr>
          <w:rFonts w:hint="default" w:ascii="仿宋" w:hAnsi="仿宋" w:eastAsia="仿宋" w:cs="仿宋_GB2312"/>
          <w:sz w:val="28"/>
          <w:szCs w:val="28"/>
        </w:rPr>
        <w:t>）承办市人民政府交办的其</w:t>
      </w:r>
      <w:r>
        <w:rPr>
          <w:rFonts w:ascii="仿宋" w:hAnsi="仿宋" w:eastAsia="仿宋" w:cs="仿宋_GB2312"/>
          <w:sz w:val="28"/>
          <w:szCs w:val="28"/>
        </w:rPr>
        <w:t>他</w:t>
      </w:r>
      <w:r>
        <w:rPr>
          <w:rFonts w:hint="default" w:ascii="仿宋" w:hAnsi="仿宋" w:eastAsia="仿宋" w:cs="仿宋_GB2312"/>
          <w:sz w:val="28"/>
          <w:szCs w:val="28"/>
        </w:rPr>
        <w:t>事项。</w:t>
      </w:r>
    </w:p>
    <w:p>
      <w:pPr>
        <w:pStyle w:val="11"/>
        <w:widowControl/>
        <w:spacing w:line="435" w:lineRule="atLeast"/>
        <w:ind w:firstLine="555"/>
        <w:rPr>
          <w:rFonts w:hint="default" w:ascii="仿宋" w:hAnsi="仿宋" w:eastAsia="仿宋"/>
          <w:sz w:val="28"/>
          <w:szCs w:val="28"/>
        </w:rPr>
      </w:pPr>
      <w:r>
        <w:rPr>
          <w:rStyle w:val="15"/>
          <w:rFonts w:hint="default" w:ascii="仿宋" w:hAnsi="仿宋" w:eastAsia="仿宋"/>
          <w:b w:val="0"/>
          <w:sz w:val="28"/>
          <w:szCs w:val="28"/>
        </w:rPr>
        <w:t>2</w:t>
      </w:r>
      <w:r>
        <w:rPr>
          <w:rStyle w:val="15"/>
          <w:rFonts w:hint="default" w:ascii="仿宋" w:hAnsi="仿宋" w:eastAsia="仿宋" w:cs="仿宋_GB2312"/>
          <w:b w:val="0"/>
          <w:sz w:val="28"/>
          <w:szCs w:val="28"/>
        </w:rPr>
        <w:t>．组织机构，人员编制：</w:t>
      </w:r>
    </w:p>
    <w:p>
      <w:pPr>
        <w:pStyle w:val="7"/>
        <w:ind w:firstLine="560" w:firstLineChars="200"/>
        <w:rPr>
          <w:rFonts w:ascii="仿宋" w:hAnsi="仿宋" w:eastAsia="仿宋" w:cs="宋体"/>
          <w:sz w:val="28"/>
          <w:szCs w:val="28"/>
        </w:rPr>
      </w:pPr>
      <w:r>
        <w:rPr>
          <w:rFonts w:ascii="仿宋" w:hAnsi="仿宋" w:eastAsia="仿宋" w:cs="仿宋_GB2312"/>
          <w:sz w:val="28"/>
          <w:szCs w:val="28"/>
        </w:rPr>
        <w:t>（</w:t>
      </w:r>
      <w:r>
        <w:rPr>
          <w:rFonts w:ascii="仿宋" w:hAnsi="仿宋" w:eastAsia="仿宋" w:cs="Times New Roman"/>
          <w:sz w:val="28"/>
          <w:szCs w:val="28"/>
        </w:rPr>
        <w:t>1</w:t>
      </w:r>
      <w:r>
        <w:rPr>
          <w:rFonts w:ascii="仿宋" w:hAnsi="仿宋" w:eastAsia="仿宋" w:cs="仿宋_GB2312"/>
          <w:sz w:val="28"/>
          <w:szCs w:val="28"/>
        </w:rPr>
        <w:t>）</w:t>
      </w:r>
      <w:r>
        <w:rPr>
          <w:rFonts w:hint="eastAsia" w:ascii="仿宋" w:hAnsi="仿宋" w:eastAsia="仿宋"/>
          <w:sz w:val="28"/>
          <w:szCs w:val="28"/>
        </w:rPr>
        <w:t>宁乡市夏铎铺</w:t>
      </w:r>
      <w:r>
        <w:rPr>
          <w:rFonts w:hint="eastAsia" w:ascii="仿宋" w:hAnsi="仿宋" w:eastAsia="仿宋" w:cs="Times New Roman"/>
          <w:sz w:val="28"/>
          <w:szCs w:val="28"/>
        </w:rPr>
        <w:t>镇人民政府部门共设三中心一所一机关一执法队</w:t>
      </w:r>
      <w:r>
        <w:rPr>
          <w:rFonts w:hint="eastAsia" w:ascii="仿宋" w:hAnsi="仿宋" w:eastAsia="仿宋" w:cs="宋体"/>
          <w:sz w:val="28"/>
          <w:szCs w:val="28"/>
        </w:rPr>
        <w:t>。</w:t>
      </w:r>
      <w:r>
        <w:rPr>
          <w:rFonts w:hint="eastAsia" w:ascii="仿宋" w:hAnsi="仿宋" w:eastAsia="仿宋" w:cs="Times New Roman"/>
          <w:sz w:val="28"/>
          <w:szCs w:val="28"/>
        </w:rPr>
        <w:t>具体职能职责如下</w:t>
      </w:r>
      <w:r>
        <w:rPr>
          <w:rFonts w:hint="eastAsia" w:ascii="仿宋" w:hAnsi="仿宋" w:eastAsia="仿宋" w:cs="宋体"/>
          <w:sz w:val="28"/>
          <w:szCs w:val="28"/>
        </w:rPr>
        <w:t>：</w:t>
      </w:r>
    </w:p>
    <w:p>
      <w:pPr>
        <w:pStyle w:val="7"/>
        <w:ind w:firstLine="280" w:firstLineChars="100"/>
        <w:rPr>
          <w:rFonts w:ascii="仿宋" w:hAnsi="仿宋" w:eastAsia="仿宋" w:cs="Times New Roman"/>
          <w:sz w:val="28"/>
          <w:szCs w:val="28"/>
        </w:rPr>
      </w:pPr>
      <w:r>
        <w:rPr>
          <w:rFonts w:hint="eastAsia" w:ascii="仿宋" w:hAnsi="仿宋" w:eastAsia="仿宋"/>
          <w:bCs/>
          <w:kern w:val="0"/>
          <w:sz w:val="28"/>
          <w:szCs w:val="28"/>
        </w:rPr>
        <w:t>（一）</w:t>
      </w:r>
      <w:r>
        <w:rPr>
          <w:rFonts w:hint="eastAsia" w:ascii="仿宋" w:hAnsi="仿宋" w:eastAsia="仿宋" w:cs="Times New Roman"/>
          <w:sz w:val="28"/>
          <w:szCs w:val="28"/>
        </w:rPr>
        <w:t>夏铎铺镇社会事务综合服务中心。主要承担民政事务、社保保障、生殖健康宣传、咨询、检查和提供计划生育技术指导服务、</w:t>
      </w:r>
    </w:p>
    <w:p>
      <w:pPr>
        <w:pStyle w:val="7"/>
        <w:rPr>
          <w:rFonts w:ascii="仿宋" w:hAnsi="仿宋" w:eastAsia="仿宋" w:cs="Times New Roman"/>
          <w:sz w:val="28"/>
          <w:szCs w:val="28"/>
        </w:rPr>
      </w:pPr>
      <w:r>
        <w:rPr>
          <w:rFonts w:hint="eastAsia" w:ascii="仿宋" w:hAnsi="仿宋" w:eastAsia="仿宋" w:cs="Times New Roman"/>
          <w:sz w:val="28"/>
          <w:szCs w:val="28"/>
        </w:rPr>
        <w:t>乡村规划、环保、建设、城管等管理和执法职责。</w:t>
      </w:r>
    </w:p>
    <w:p>
      <w:pPr>
        <w:pStyle w:val="7"/>
        <w:rPr>
          <w:rFonts w:ascii="仿宋" w:hAnsi="仿宋" w:eastAsia="仿宋" w:cs="Times New Roman"/>
          <w:sz w:val="28"/>
          <w:szCs w:val="28"/>
        </w:rPr>
      </w:pPr>
      <w:r>
        <w:rPr>
          <w:rFonts w:hint="eastAsia" w:ascii="仿宋" w:hAnsi="仿宋" w:eastAsia="仿宋" w:cs="Times New Roman"/>
          <w:sz w:val="28"/>
          <w:szCs w:val="28"/>
        </w:rPr>
        <w:t>　</w:t>
      </w:r>
      <w:r>
        <w:rPr>
          <w:rFonts w:hint="eastAsia" w:ascii="仿宋" w:hAnsi="仿宋" w:eastAsia="仿宋"/>
          <w:bCs/>
          <w:kern w:val="0"/>
          <w:sz w:val="28"/>
          <w:szCs w:val="28"/>
        </w:rPr>
        <w:t>（二）</w:t>
      </w:r>
      <w:r>
        <w:rPr>
          <w:rFonts w:hint="eastAsia" w:ascii="仿宋" w:hAnsi="仿宋" w:eastAsia="仿宋" w:cs="Times New Roman"/>
          <w:sz w:val="28"/>
          <w:szCs w:val="28"/>
        </w:rPr>
        <w:t>夏铎铺镇农业综合服务中心。主要承担农林水等产业新技术、新品种的示范、推广；动植物防疫检疫、病虫害及疫情的检测、预报、防治和处理；畜禽与畜禽产品检疫、检验；森林资源管理、护林防火；水资源管理、防汛抗旱、农田水利建设；农业机械管理；农产品质量安全监测等职责。</w:t>
      </w:r>
    </w:p>
    <w:p>
      <w:pPr>
        <w:pStyle w:val="7"/>
        <w:rPr>
          <w:rFonts w:ascii="仿宋" w:hAnsi="仿宋" w:eastAsia="仿宋" w:cs="Times New Roman"/>
          <w:sz w:val="28"/>
          <w:szCs w:val="28"/>
        </w:rPr>
      </w:pPr>
      <w:r>
        <w:rPr>
          <w:rFonts w:hint="eastAsia" w:ascii="仿宋" w:hAnsi="仿宋" w:eastAsia="仿宋" w:cs="Times New Roman"/>
          <w:sz w:val="28"/>
          <w:szCs w:val="28"/>
        </w:rPr>
        <w:t>　</w:t>
      </w:r>
      <w:r>
        <w:rPr>
          <w:rFonts w:hint="eastAsia" w:ascii="仿宋" w:hAnsi="仿宋" w:eastAsia="仿宋"/>
          <w:bCs/>
          <w:kern w:val="0"/>
          <w:sz w:val="28"/>
          <w:szCs w:val="28"/>
        </w:rPr>
        <w:t>（三）</w:t>
      </w:r>
      <w:r>
        <w:rPr>
          <w:rFonts w:hint="eastAsia" w:ascii="仿宋" w:hAnsi="仿宋" w:eastAsia="仿宋" w:cs="Times New Roman"/>
          <w:sz w:val="28"/>
          <w:szCs w:val="28"/>
        </w:rPr>
        <w:t>夏铎铺镇政务服务中心。主要承担文化宣传、广播影视、法制教育、文艺演出、群众体育、科技推广、科普培训、安全生产监管、食品安全监管等职责。</w:t>
      </w:r>
    </w:p>
    <w:p>
      <w:pPr>
        <w:pStyle w:val="7"/>
        <w:ind w:firstLine="140" w:firstLineChars="50"/>
        <w:rPr>
          <w:rFonts w:ascii="仿宋" w:hAnsi="仿宋" w:eastAsia="仿宋" w:cs="宋体"/>
          <w:sz w:val="28"/>
          <w:szCs w:val="28"/>
        </w:rPr>
      </w:pPr>
      <w:r>
        <w:rPr>
          <w:rFonts w:hint="eastAsia" w:ascii="仿宋" w:hAnsi="仿宋" w:eastAsia="仿宋"/>
          <w:bCs/>
          <w:kern w:val="0"/>
          <w:sz w:val="28"/>
          <w:szCs w:val="28"/>
        </w:rPr>
        <w:t>（四）</w:t>
      </w:r>
      <w:r>
        <w:rPr>
          <w:rFonts w:hint="eastAsia" w:ascii="仿宋" w:hAnsi="仿宋" w:eastAsia="仿宋" w:cs="宋体"/>
          <w:sz w:val="28"/>
          <w:szCs w:val="28"/>
        </w:rPr>
        <w:t>夏铎铺镇司法所。主要承担司法调处工作。</w:t>
      </w:r>
    </w:p>
    <w:p>
      <w:pPr>
        <w:pStyle w:val="7"/>
        <w:rPr>
          <w:rFonts w:ascii="仿宋" w:hAnsi="仿宋" w:eastAsia="仿宋" w:cs="宋体"/>
          <w:sz w:val="28"/>
          <w:szCs w:val="28"/>
        </w:rPr>
      </w:pPr>
      <w:r>
        <w:rPr>
          <w:rFonts w:hint="eastAsia" w:ascii="仿宋" w:hAnsi="仿宋" w:eastAsia="仿宋" w:cs="宋体"/>
          <w:sz w:val="28"/>
          <w:szCs w:val="28"/>
        </w:rPr>
        <w:t xml:space="preserve"> </w:t>
      </w:r>
      <w:r>
        <w:rPr>
          <w:rFonts w:hint="eastAsia" w:ascii="仿宋" w:hAnsi="仿宋" w:eastAsia="仿宋"/>
          <w:bCs/>
          <w:kern w:val="0"/>
          <w:sz w:val="28"/>
          <w:szCs w:val="28"/>
        </w:rPr>
        <w:t>（五）</w:t>
      </w:r>
      <w:r>
        <w:rPr>
          <w:rFonts w:hint="eastAsia" w:ascii="仿宋" w:hAnsi="仿宋" w:eastAsia="仿宋" w:cs="宋体"/>
          <w:sz w:val="28"/>
          <w:szCs w:val="28"/>
        </w:rPr>
        <w:t>夏铎铺镇综合执法大队。主要负责辖区内城管、综合治理等职责。</w:t>
      </w:r>
    </w:p>
    <w:p>
      <w:pPr>
        <w:pStyle w:val="7"/>
        <w:ind w:firstLine="140" w:firstLineChars="50"/>
        <w:rPr>
          <w:rFonts w:ascii="仿宋" w:hAnsi="仿宋" w:eastAsia="仿宋" w:cs="宋体"/>
          <w:sz w:val="28"/>
          <w:szCs w:val="28"/>
        </w:rPr>
      </w:pPr>
      <w:r>
        <w:rPr>
          <w:rFonts w:hint="eastAsia" w:ascii="仿宋" w:hAnsi="仿宋" w:eastAsia="仿宋"/>
          <w:bCs/>
          <w:kern w:val="0"/>
          <w:sz w:val="28"/>
          <w:szCs w:val="28"/>
        </w:rPr>
        <w:t>（六）</w:t>
      </w:r>
      <w:r>
        <w:rPr>
          <w:rFonts w:hint="eastAsia" w:ascii="仿宋" w:hAnsi="仿宋" w:eastAsia="仿宋" w:cs="宋体"/>
          <w:sz w:val="28"/>
          <w:szCs w:val="28"/>
        </w:rPr>
        <w:t>夏铎铺镇机关。承担全镇税收收缴，财政资金收入、调度、使用和监管、主管政府全面工作。</w:t>
      </w:r>
    </w:p>
    <w:p>
      <w:pPr>
        <w:ind w:firstLine="560" w:firstLineChars="200"/>
        <w:rPr>
          <w:rFonts w:hint="eastAsia" w:ascii="仿宋" w:hAnsi="仿宋" w:eastAsia="仿宋" w:cs="仿宋"/>
          <w:sz w:val="28"/>
          <w:szCs w:val="28"/>
          <w:lang w:val="en-US" w:eastAsia="zh-CN"/>
        </w:rPr>
      </w:pPr>
      <w:r>
        <w:rPr>
          <w:rFonts w:ascii="仿宋" w:hAnsi="仿宋" w:eastAsia="仿宋" w:cs="仿宋_GB2312"/>
          <w:sz w:val="28"/>
          <w:szCs w:val="28"/>
        </w:rPr>
        <w:t>（</w:t>
      </w:r>
      <w:r>
        <w:rPr>
          <w:rFonts w:ascii="仿宋" w:hAnsi="仿宋" w:eastAsia="仿宋" w:cs="Times New Roman"/>
          <w:sz w:val="28"/>
          <w:szCs w:val="28"/>
        </w:rPr>
        <w:t>2</w:t>
      </w:r>
      <w:r>
        <w:rPr>
          <w:rFonts w:ascii="仿宋" w:hAnsi="仿宋" w:eastAsia="仿宋" w:cs="仿宋_GB2312"/>
          <w:sz w:val="28"/>
          <w:szCs w:val="28"/>
        </w:rPr>
        <w:t>）</w:t>
      </w:r>
      <w:r>
        <w:rPr>
          <w:rFonts w:hint="eastAsia" w:ascii="仿宋" w:hAnsi="仿宋" w:eastAsia="仿宋"/>
          <w:sz w:val="28"/>
          <w:szCs w:val="28"/>
        </w:rPr>
        <w:t>夏铎铺镇位于宁乡县东大门，全镇有6个村民委员会，3个社区，镇域人口40897人。</w:t>
      </w:r>
      <w:r>
        <w:rPr>
          <w:rFonts w:hint="eastAsia" w:ascii="仿宋" w:hAnsi="仿宋" w:eastAsia="仿宋" w:cs="仿宋"/>
          <w:sz w:val="28"/>
          <w:szCs w:val="28"/>
        </w:rPr>
        <w:t>共有在职人员</w:t>
      </w:r>
      <w:r>
        <w:rPr>
          <w:rFonts w:hint="eastAsia" w:ascii="仿宋" w:hAnsi="仿宋" w:eastAsia="仿宋" w:cs="仿宋"/>
          <w:sz w:val="28"/>
          <w:szCs w:val="28"/>
          <w:lang w:val="en-US" w:eastAsia="zh-CN"/>
        </w:rPr>
        <w:t>154</w:t>
      </w:r>
      <w:r>
        <w:rPr>
          <w:rFonts w:hint="eastAsia" w:ascii="仿宋" w:hAnsi="仿宋" w:eastAsia="仿宋" w:cs="仿宋"/>
          <w:sz w:val="28"/>
          <w:szCs w:val="28"/>
        </w:rPr>
        <w:t>人，其中政府机关45人，司法所2人，社会事务综合服务中心2</w:t>
      </w:r>
      <w:r>
        <w:rPr>
          <w:rFonts w:hint="eastAsia" w:ascii="仿宋" w:hAnsi="仿宋" w:eastAsia="仿宋" w:cs="仿宋"/>
          <w:sz w:val="28"/>
          <w:szCs w:val="28"/>
          <w:lang w:val="en-US" w:eastAsia="zh-CN"/>
        </w:rPr>
        <w:t>1</w:t>
      </w:r>
      <w:r>
        <w:rPr>
          <w:rFonts w:hint="eastAsia" w:ascii="仿宋" w:hAnsi="仿宋" w:eastAsia="仿宋" w:cs="仿宋"/>
          <w:sz w:val="28"/>
          <w:szCs w:val="28"/>
        </w:rPr>
        <w:t>人，农业服务中心</w:t>
      </w:r>
      <w:r>
        <w:rPr>
          <w:rFonts w:hint="eastAsia" w:ascii="仿宋" w:hAnsi="仿宋" w:eastAsia="仿宋" w:cs="仿宋"/>
          <w:sz w:val="28"/>
          <w:szCs w:val="28"/>
          <w:lang w:val="en-US" w:eastAsia="zh-CN"/>
        </w:rPr>
        <w:t>71</w:t>
      </w:r>
      <w:r>
        <w:rPr>
          <w:rFonts w:hint="eastAsia" w:ascii="仿宋" w:hAnsi="仿宋" w:eastAsia="仿宋" w:cs="仿宋"/>
          <w:sz w:val="28"/>
          <w:szCs w:val="28"/>
        </w:rPr>
        <w:t>人，政务服务中心6人，</w:t>
      </w:r>
      <w:r>
        <w:rPr>
          <w:rFonts w:hint="eastAsia" w:ascii="仿宋" w:hAnsi="仿宋" w:eastAsia="仿宋" w:cs="仿宋"/>
          <w:sz w:val="28"/>
          <w:szCs w:val="28"/>
          <w:lang w:eastAsia="zh-CN"/>
        </w:rPr>
        <w:t>城管执法大队</w:t>
      </w:r>
      <w:r>
        <w:rPr>
          <w:rFonts w:hint="eastAsia" w:ascii="仿宋" w:hAnsi="仿宋" w:eastAsia="仿宋" w:cs="仿宋"/>
          <w:sz w:val="28"/>
          <w:szCs w:val="28"/>
          <w:lang w:val="en-US" w:eastAsia="zh-CN"/>
        </w:rPr>
        <w:t>6人，共计</w:t>
      </w:r>
      <w:r>
        <w:rPr>
          <w:rFonts w:hint="eastAsia" w:ascii="仿宋" w:hAnsi="仿宋" w:eastAsia="仿宋" w:cs="仿宋"/>
          <w:sz w:val="28"/>
          <w:szCs w:val="28"/>
        </w:rPr>
        <w:t>较上年增加</w:t>
      </w:r>
      <w:r>
        <w:rPr>
          <w:rFonts w:hint="eastAsia" w:ascii="仿宋" w:hAnsi="仿宋" w:eastAsia="仿宋" w:cs="仿宋"/>
          <w:sz w:val="28"/>
          <w:szCs w:val="28"/>
          <w:lang w:val="en-US" w:eastAsia="zh-CN"/>
        </w:rPr>
        <w:t>9</w:t>
      </w:r>
      <w:r>
        <w:rPr>
          <w:rFonts w:hint="eastAsia" w:ascii="仿宋" w:hAnsi="仿宋" w:eastAsia="仿宋" w:cs="仿宋"/>
          <w:sz w:val="28"/>
          <w:szCs w:val="28"/>
        </w:rPr>
        <w:t>人</w:t>
      </w:r>
      <w:r>
        <w:rPr>
          <w:rFonts w:hint="eastAsia" w:ascii="仿宋" w:hAnsi="仿宋" w:eastAsia="仿宋" w:cs="仿宋"/>
          <w:sz w:val="28"/>
          <w:szCs w:val="28"/>
          <w:lang w:eastAsia="zh-CN"/>
        </w:rPr>
        <w:t>。</w:t>
      </w:r>
    </w:p>
    <w:p>
      <w:pPr>
        <w:pStyle w:val="11"/>
        <w:widowControl/>
        <w:spacing w:line="435" w:lineRule="atLeast"/>
        <w:ind w:firstLine="540"/>
        <w:jc w:val="both"/>
        <w:rPr>
          <w:rFonts w:hint="default" w:ascii="仿宋" w:hAnsi="仿宋" w:eastAsia="仿宋"/>
          <w:sz w:val="28"/>
          <w:szCs w:val="28"/>
        </w:rPr>
      </w:pPr>
      <w:r>
        <w:rPr>
          <w:rStyle w:val="15"/>
          <w:rFonts w:hint="default" w:ascii="仿宋" w:hAnsi="仿宋" w:eastAsia="仿宋" w:cs="楷体_GB2312"/>
          <w:b w:val="0"/>
          <w:sz w:val="28"/>
          <w:szCs w:val="28"/>
        </w:rPr>
        <w:t>（二）部门整体支出规模、使用方向和主要内容、涉及范围等。</w:t>
      </w:r>
    </w:p>
    <w:p>
      <w:pPr>
        <w:pStyle w:val="11"/>
        <w:widowControl/>
        <w:spacing w:line="435" w:lineRule="atLeast"/>
        <w:ind w:firstLine="555"/>
        <w:rPr>
          <w:rFonts w:hint="default" w:ascii="仿宋" w:hAnsi="仿宋" w:eastAsia="仿宋"/>
          <w:sz w:val="28"/>
          <w:szCs w:val="28"/>
        </w:rPr>
      </w:pPr>
      <w:r>
        <w:rPr>
          <w:rFonts w:hint="default" w:ascii="仿宋" w:hAnsi="仿宋" w:eastAsia="仿宋"/>
          <w:sz w:val="28"/>
          <w:szCs w:val="28"/>
        </w:rPr>
        <w:t>202</w:t>
      </w:r>
      <w:r>
        <w:rPr>
          <w:rFonts w:hint="eastAsia" w:ascii="仿宋" w:hAnsi="仿宋" w:eastAsia="仿宋"/>
          <w:sz w:val="28"/>
          <w:szCs w:val="28"/>
          <w:lang w:val="en-US" w:eastAsia="zh-CN"/>
        </w:rPr>
        <w:t>1</w:t>
      </w:r>
      <w:r>
        <w:rPr>
          <w:rFonts w:hint="default" w:ascii="仿宋" w:hAnsi="仿宋" w:eastAsia="仿宋" w:cs="仿宋_GB2312"/>
          <w:sz w:val="28"/>
          <w:szCs w:val="28"/>
        </w:rPr>
        <w:t>年部门决算部门决算总支出</w:t>
      </w:r>
      <w:r>
        <w:rPr>
          <w:rFonts w:hint="eastAsia" w:ascii="仿宋" w:hAnsi="仿宋" w:eastAsia="仿宋"/>
          <w:sz w:val="28"/>
          <w:szCs w:val="28"/>
          <w:lang w:val="en-US" w:eastAsia="zh-CN"/>
        </w:rPr>
        <w:t>11269.05</w:t>
      </w:r>
      <w:r>
        <w:rPr>
          <w:rFonts w:hint="default" w:ascii="仿宋" w:hAnsi="仿宋" w:eastAsia="仿宋" w:cs="仿宋_GB2312"/>
          <w:sz w:val="28"/>
          <w:szCs w:val="28"/>
        </w:rPr>
        <w:t>万元，其中按支出性质和经济分类：一般公共服务支出</w:t>
      </w:r>
      <w:r>
        <w:rPr>
          <w:rFonts w:hint="eastAsia" w:ascii="仿宋" w:hAnsi="仿宋" w:eastAsia="仿宋"/>
          <w:sz w:val="28"/>
          <w:szCs w:val="28"/>
          <w:lang w:val="en-US" w:eastAsia="zh-CN"/>
        </w:rPr>
        <w:t>5067.29</w:t>
      </w:r>
      <w:r>
        <w:rPr>
          <w:rFonts w:hint="default" w:ascii="仿宋" w:hAnsi="仿宋" w:eastAsia="仿宋" w:cs="仿宋_GB2312"/>
          <w:sz w:val="28"/>
          <w:szCs w:val="28"/>
        </w:rPr>
        <w:t>万元、</w:t>
      </w:r>
      <w:r>
        <w:rPr>
          <w:rFonts w:hint="eastAsia" w:ascii="仿宋" w:hAnsi="仿宋" w:eastAsia="仿宋" w:cs="仿宋_GB2312"/>
          <w:sz w:val="28"/>
          <w:szCs w:val="28"/>
          <w:lang w:eastAsia="zh-CN"/>
        </w:rPr>
        <w:t>国防支出</w:t>
      </w:r>
      <w:r>
        <w:rPr>
          <w:rFonts w:hint="eastAsia" w:ascii="仿宋" w:hAnsi="仿宋" w:eastAsia="仿宋" w:cs="仿宋_GB2312"/>
          <w:sz w:val="28"/>
          <w:szCs w:val="28"/>
          <w:lang w:val="en-US" w:eastAsia="zh-CN"/>
        </w:rPr>
        <w:t>9万元，</w:t>
      </w:r>
      <w:r>
        <w:rPr>
          <w:rFonts w:hint="default" w:ascii="仿宋" w:hAnsi="仿宋" w:eastAsia="仿宋" w:cs="仿宋_GB2312"/>
          <w:sz w:val="28"/>
          <w:szCs w:val="28"/>
        </w:rPr>
        <w:t>公共安全支出</w:t>
      </w:r>
      <w:r>
        <w:rPr>
          <w:rFonts w:hint="eastAsia" w:ascii="仿宋" w:hAnsi="仿宋" w:eastAsia="仿宋"/>
          <w:sz w:val="28"/>
          <w:szCs w:val="28"/>
          <w:lang w:val="en-US" w:eastAsia="zh-CN"/>
        </w:rPr>
        <w:t>29.79</w:t>
      </w:r>
      <w:r>
        <w:rPr>
          <w:rFonts w:hint="default" w:ascii="仿宋" w:hAnsi="仿宋" w:eastAsia="仿宋" w:cs="仿宋_GB2312"/>
          <w:sz w:val="28"/>
          <w:szCs w:val="28"/>
        </w:rPr>
        <w:t>万元、教育支出</w:t>
      </w:r>
      <w:r>
        <w:rPr>
          <w:rFonts w:hint="eastAsia" w:ascii="仿宋" w:hAnsi="仿宋" w:eastAsia="仿宋"/>
          <w:sz w:val="28"/>
          <w:szCs w:val="28"/>
          <w:lang w:val="en-US" w:eastAsia="zh-CN"/>
        </w:rPr>
        <w:t>307.74</w:t>
      </w:r>
      <w:r>
        <w:rPr>
          <w:rFonts w:hint="default" w:ascii="仿宋" w:hAnsi="仿宋" w:eastAsia="仿宋" w:cs="仿宋_GB2312"/>
          <w:sz w:val="28"/>
          <w:szCs w:val="28"/>
        </w:rPr>
        <w:t>万元</w:t>
      </w:r>
      <w:r>
        <w:rPr>
          <w:rFonts w:ascii="仿宋" w:hAnsi="仿宋" w:eastAsia="仿宋" w:cs="仿宋_GB2312"/>
          <w:sz w:val="28"/>
          <w:szCs w:val="28"/>
        </w:rPr>
        <w:t>、科学技术支出2万元、</w:t>
      </w:r>
      <w:r>
        <w:rPr>
          <w:rFonts w:hint="default" w:ascii="仿宋" w:hAnsi="仿宋" w:eastAsia="仿宋" w:cs="仿宋_GB2312"/>
          <w:sz w:val="28"/>
          <w:szCs w:val="28"/>
        </w:rPr>
        <w:t>文化旅游体育与传媒支出</w:t>
      </w:r>
      <w:r>
        <w:rPr>
          <w:rFonts w:hint="eastAsia" w:ascii="仿宋" w:hAnsi="仿宋" w:eastAsia="仿宋"/>
          <w:sz w:val="28"/>
          <w:szCs w:val="28"/>
          <w:lang w:val="en-US" w:eastAsia="zh-CN"/>
        </w:rPr>
        <w:t>17.3</w:t>
      </w:r>
      <w:r>
        <w:rPr>
          <w:rFonts w:hint="default" w:ascii="仿宋" w:hAnsi="仿宋" w:eastAsia="仿宋" w:cs="仿宋_GB2312"/>
          <w:sz w:val="28"/>
          <w:szCs w:val="28"/>
        </w:rPr>
        <w:t>万元、社会保障和就业支出</w:t>
      </w:r>
      <w:r>
        <w:rPr>
          <w:rFonts w:hint="eastAsia" w:ascii="仿宋" w:hAnsi="仿宋" w:eastAsia="仿宋"/>
          <w:sz w:val="28"/>
          <w:szCs w:val="28"/>
          <w:lang w:val="en-US" w:eastAsia="zh-CN"/>
        </w:rPr>
        <w:t>691.40</w:t>
      </w:r>
      <w:r>
        <w:rPr>
          <w:rFonts w:hint="default" w:ascii="仿宋" w:hAnsi="仿宋" w:eastAsia="仿宋" w:cs="仿宋_GB2312"/>
          <w:sz w:val="28"/>
          <w:szCs w:val="28"/>
        </w:rPr>
        <w:t>万元、卫生健康支出</w:t>
      </w:r>
      <w:r>
        <w:rPr>
          <w:rFonts w:hint="eastAsia" w:ascii="仿宋" w:hAnsi="仿宋" w:eastAsia="仿宋"/>
          <w:sz w:val="28"/>
          <w:szCs w:val="28"/>
          <w:lang w:val="en-US" w:eastAsia="zh-CN"/>
        </w:rPr>
        <w:t>290.59</w:t>
      </w:r>
      <w:r>
        <w:rPr>
          <w:rFonts w:hint="default" w:ascii="仿宋" w:hAnsi="仿宋" w:eastAsia="仿宋" w:cs="仿宋_GB2312"/>
          <w:sz w:val="28"/>
          <w:szCs w:val="28"/>
        </w:rPr>
        <w:t>万元、节能环保支出</w:t>
      </w:r>
      <w:r>
        <w:rPr>
          <w:rFonts w:hint="eastAsia" w:ascii="仿宋" w:hAnsi="仿宋" w:eastAsia="仿宋"/>
          <w:sz w:val="28"/>
          <w:szCs w:val="28"/>
          <w:lang w:val="en-US" w:eastAsia="zh-CN"/>
        </w:rPr>
        <w:t>174.51</w:t>
      </w:r>
      <w:r>
        <w:rPr>
          <w:rFonts w:hint="default" w:ascii="仿宋" w:hAnsi="仿宋" w:eastAsia="仿宋" w:cs="仿宋_GB2312"/>
          <w:sz w:val="28"/>
          <w:szCs w:val="28"/>
        </w:rPr>
        <w:t>万元、城乡社区支出</w:t>
      </w:r>
      <w:r>
        <w:rPr>
          <w:rFonts w:hint="eastAsia" w:ascii="仿宋" w:hAnsi="仿宋" w:eastAsia="仿宋"/>
          <w:sz w:val="28"/>
          <w:szCs w:val="28"/>
          <w:lang w:val="en-US" w:eastAsia="zh-CN"/>
        </w:rPr>
        <w:t>2380.88</w:t>
      </w:r>
      <w:r>
        <w:rPr>
          <w:rFonts w:hint="default" w:ascii="仿宋" w:hAnsi="仿宋" w:eastAsia="仿宋" w:cs="仿宋_GB2312"/>
          <w:sz w:val="28"/>
          <w:szCs w:val="28"/>
        </w:rPr>
        <w:t>万元、农林水支出</w:t>
      </w:r>
      <w:r>
        <w:rPr>
          <w:rFonts w:hint="eastAsia" w:ascii="仿宋" w:hAnsi="仿宋" w:eastAsia="仿宋"/>
          <w:sz w:val="28"/>
          <w:szCs w:val="28"/>
          <w:lang w:val="en-US" w:eastAsia="zh-CN"/>
        </w:rPr>
        <w:t>1921.58</w:t>
      </w:r>
      <w:r>
        <w:rPr>
          <w:rFonts w:hint="default" w:ascii="仿宋" w:hAnsi="仿宋" w:eastAsia="仿宋" w:cs="仿宋_GB2312"/>
          <w:sz w:val="28"/>
          <w:szCs w:val="28"/>
        </w:rPr>
        <w:t>万元、交通运输支出</w:t>
      </w:r>
      <w:r>
        <w:rPr>
          <w:rFonts w:hint="eastAsia" w:ascii="仿宋" w:hAnsi="仿宋" w:eastAsia="仿宋"/>
          <w:sz w:val="28"/>
          <w:szCs w:val="28"/>
          <w:lang w:val="en-US" w:eastAsia="zh-CN"/>
        </w:rPr>
        <w:t>212.37</w:t>
      </w:r>
      <w:r>
        <w:rPr>
          <w:rFonts w:hint="default" w:ascii="仿宋" w:hAnsi="仿宋" w:eastAsia="仿宋" w:cs="仿宋_GB2312"/>
          <w:sz w:val="28"/>
          <w:szCs w:val="28"/>
        </w:rPr>
        <w:t>万元、资源勘探工业信息等支出</w:t>
      </w:r>
      <w:r>
        <w:rPr>
          <w:rFonts w:hint="eastAsia" w:ascii="仿宋" w:hAnsi="仿宋" w:eastAsia="仿宋"/>
          <w:sz w:val="28"/>
          <w:szCs w:val="28"/>
          <w:lang w:val="en-US" w:eastAsia="zh-CN"/>
        </w:rPr>
        <w:t>0</w:t>
      </w:r>
      <w:r>
        <w:rPr>
          <w:rFonts w:hint="default" w:ascii="仿宋" w:hAnsi="仿宋" w:eastAsia="仿宋" w:cs="仿宋_GB2312"/>
          <w:sz w:val="28"/>
          <w:szCs w:val="28"/>
        </w:rPr>
        <w:t>万元、</w:t>
      </w:r>
      <w:r>
        <w:rPr>
          <w:rFonts w:ascii="仿宋" w:hAnsi="仿宋" w:eastAsia="仿宋" w:cs="仿宋_GB2312"/>
          <w:sz w:val="28"/>
          <w:szCs w:val="28"/>
        </w:rPr>
        <w:t>商品服务业等支出</w:t>
      </w:r>
      <w:r>
        <w:rPr>
          <w:rFonts w:hint="eastAsia" w:ascii="仿宋" w:hAnsi="仿宋" w:eastAsia="仿宋" w:cs="仿宋_GB2312"/>
          <w:sz w:val="28"/>
          <w:szCs w:val="28"/>
          <w:lang w:val="en-US" w:eastAsia="zh-CN"/>
        </w:rPr>
        <w:t>1.51</w:t>
      </w:r>
      <w:r>
        <w:rPr>
          <w:rFonts w:ascii="仿宋" w:hAnsi="仿宋" w:eastAsia="仿宋" w:cs="仿宋_GB2312"/>
          <w:sz w:val="28"/>
          <w:szCs w:val="28"/>
        </w:rPr>
        <w:t>万元、</w:t>
      </w:r>
      <w:r>
        <w:rPr>
          <w:rFonts w:hint="default" w:ascii="仿宋" w:hAnsi="仿宋" w:eastAsia="仿宋" w:cs="仿宋_GB2312"/>
          <w:sz w:val="28"/>
          <w:szCs w:val="28"/>
        </w:rPr>
        <w:t>住房保障支出</w:t>
      </w:r>
      <w:r>
        <w:rPr>
          <w:rFonts w:hint="eastAsia" w:ascii="仿宋" w:hAnsi="仿宋" w:eastAsia="仿宋"/>
          <w:sz w:val="28"/>
          <w:szCs w:val="28"/>
          <w:lang w:val="en-US" w:eastAsia="zh-CN"/>
        </w:rPr>
        <w:t>111.92</w:t>
      </w:r>
      <w:r>
        <w:rPr>
          <w:rFonts w:hint="default" w:ascii="仿宋" w:hAnsi="仿宋" w:eastAsia="仿宋" w:cs="仿宋_GB2312"/>
          <w:sz w:val="28"/>
          <w:szCs w:val="28"/>
        </w:rPr>
        <w:t>万元、</w:t>
      </w:r>
      <w:r>
        <w:rPr>
          <w:rFonts w:ascii="仿宋" w:hAnsi="仿宋" w:eastAsia="仿宋" w:cs="仿宋_GB2312"/>
          <w:sz w:val="28"/>
          <w:szCs w:val="28"/>
        </w:rPr>
        <w:t>粮油物资储备等支出8万元、</w:t>
      </w:r>
      <w:r>
        <w:rPr>
          <w:rFonts w:hint="default" w:ascii="仿宋" w:hAnsi="仿宋" w:eastAsia="仿宋" w:cs="仿宋_GB2312"/>
          <w:sz w:val="28"/>
          <w:szCs w:val="28"/>
        </w:rPr>
        <w:t>灾害防治及应急管理支出</w:t>
      </w:r>
      <w:r>
        <w:rPr>
          <w:rFonts w:hint="eastAsia" w:ascii="仿宋" w:hAnsi="仿宋" w:eastAsia="仿宋"/>
          <w:sz w:val="28"/>
          <w:szCs w:val="28"/>
          <w:lang w:val="en-US" w:eastAsia="zh-CN"/>
        </w:rPr>
        <w:t>30.31</w:t>
      </w:r>
      <w:r>
        <w:rPr>
          <w:rFonts w:hint="default" w:ascii="仿宋" w:hAnsi="仿宋" w:eastAsia="仿宋" w:cs="仿宋_GB2312"/>
          <w:sz w:val="28"/>
          <w:szCs w:val="28"/>
        </w:rPr>
        <w:t>万元，其他支出</w:t>
      </w:r>
      <w:r>
        <w:rPr>
          <w:rFonts w:hint="eastAsia" w:ascii="仿宋" w:hAnsi="仿宋" w:eastAsia="仿宋"/>
          <w:sz w:val="28"/>
          <w:szCs w:val="28"/>
          <w:lang w:val="en-US" w:eastAsia="zh-CN"/>
        </w:rPr>
        <w:t>13.5</w:t>
      </w:r>
      <w:r>
        <w:rPr>
          <w:rFonts w:hint="default" w:ascii="仿宋" w:hAnsi="仿宋" w:eastAsia="仿宋" w:cs="仿宋_GB2312"/>
          <w:sz w:val="28"/>
          <w:szCs w:val="28"/>
        </w:rPr>
        <w:t>万元</w:t>
      </w:r>
      <w:r>
        <w:rPr>
          <w:rFonts w:ascii="仿宋" w:hAnsi="仿宋" w:eastAsia="仿宋" w:cs="仿宋_GB2312"/>
          <w:sz w:val="28"/>
          <w:szCs w:val="28"/>
        </w:rPr>
        <w:t>、</w:t>
      </w:r>
      <w:r>
        <w:rPr>
          <w:rFonts w:hint="default" w:ascii="仿宋" w:hAnsi="仿宋" w:eastAsia="仿宋" w:cs="仿宋_GB2312"/>
          <w:sz w:val="28"/>
          <w:szCs w:val="28"/>
        </w:rPr>
        <w:t>抗疫特别国债安排的支出</w:t>
      </w:r>
      <w:r>
        <w:rPr>
          <w:rFonts w:hint="eastAsia" w:ascii="仿宋" w:hAnsi="仿宋" w:eastAsia="仿宋"/>
          <w:sz w:val="28"/>
          <w:szCs w:val="28"/>
          <w:lang w:val="en-US" w:eastAsia="zh-CN"/>
        </w:rPr>
        <w:t>0</w:t>
      </w:r>
      <w:r>
        <w:rPr>
          <w:rFonts w:hint="default" w:ascii="仿宋" w:hAnsi="仿宋" w:eastAsia="仿宋" w:cs="仿宋_GB2312"/>
          <w:sz w:val="28"/>
          <w:szCs w:val="28"/>
        </w:rPr>
        <w:t>万元。整个</w:t>
      </w:r>
      <w:r>
        <w:rPr>
          <w:rFonts w:hint="default" w:ascii="仿宋" w:hAnsi="仿宋" w:eastAsia="仿宋"/>
          <w:sz w:val="28"/>
          <w:szCs w:val="28"/>
        </w:rPr>
        <w:t>20</w:t>
      </w:r>
      <w:r>
        <w:rPr>
          <w:rFonts w:hint="eastAsia" w:ascii="仿宋" w:hAnsi="仿宋" w:eastAsia="仿宋"/>
          <w:sz w:val="28"/>
          <w:szCs w:val="28"/>
          <w:lang w:val="en-US" w:eastAsia="zh-CN"/>
        </w:rPr>
        <w:t>21</w:t>
      </w:r>
      <w:r>
        <w:rPr>
          <w:rFonts w:hint="default" w:ascii="仿宋" w:hAnsi="仿宋" w:eastAsia="仿宋" w:cs="仿宋_GB2312"/>
          <w:sz w:val="28"/>
          <w:szCs w:val="28"/>
        </w:rPr>
        <w:t>年收支平衡，可持续发展，财政无结余。</w:t>
      </w:r>
    </w:p>
    <w:p>
      <w:pPr>
        <w:pStyle w:val="11"/>
        <w:widowControl/>
        <w:spacing w:line="435" w:lineRule="atLeast"/>
        <w:ind w:firstLine="555"/>
        <w:rPr>
          <w:rFonts w:hint="default" w:ascii="仿宋" w:hAnsi="仿宋" w:eastAsia="仿宋"/>
          <w:sz w:val="28"/>
          <w:szCs w:val="28"/>
        </w:rPr>
      </w:pPr>
      <w:r>
        <w:rPr>
          <w:rFonts w:ascii="仿宋" w:hAnsi="仿宋" w:eastAsia="仿宋" w:cs="黑体"/>
          <w:sz w:val="28"/>
          <w:szCs w:val="28"/>
        </w:rPr>
        <w:t>二、部门整体支出管理及使用情况</w:t>
      </w:r>
    </w:p>
    <w:p>
      <w:pPr>
        <w:pStyle w:val="11"/>
        <w:widowControl/>
        <w:spacing w:line="435" w:lineRule="atLeast"/>
        <w:ind w:firstLine="555"/>
        <w:jc w:val="both"/>
        <w:rPr>
          <w:rFonts w:hint="default" w:ascii="仿宋" w:hAnsi="仿宋" w:eastAsia="仿宋"/>
          <w:sz w:val="28"/>
          <w:szCs w:val="28"/>
        </w:rPr>
      </w:pPr>
      <w:r>
        <w:rPr>
          <w:rStyle w:val="15"/>
          <w:rFonts w:hint="default" w:ascii="仿宋" w:hAnsi="仿宋" w:eastAsia="仿宋" w:cs="楷体_GB2312"/>
          <w:b w:val="0"/>
          <w:sz w:val="28"/>
          <w:szCs w:val="28"/>
        </w:rPr>
        <w:t>（一）基本支出</w:t>
      </w:r>
    </w:p>
    <w:p>
      <w:pPr>
        <w:pStyle w:val="11"/>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是指为保障单位机构正常运转、完成</w:t>
      </w:r>
      <w:r>
        <w:rPr>
          <w:rFonts w:ascii="仿宋" w:hAnsi="仿宋" w:eastAsia="仿宋" w:cs="仿宋_GB2312"/>
          <w:sz w:val="28"/>
          <w:szCs w:val="28"/>
        </w:rPr>
        <w:t>日</w:t>
      </w:r>
      <w:r>
        <w:rPr>
          <w:rFonts w:hint="default" w:ascii="仿宋" w:hAnsi="仿宋" w:eastAsia="仿宋" w:cs="仿宋_GB2312"/>
          <w:sz w:val="28"/>
          <w:szCs w:val="28"/>
        </w:rPr>
        <w:t>常工作任务而发生的各项支出，包括用于基本工资、津贴补贴等人员经费以及办公费、印刷费、水电费、办公设备购置等日常公用经费。</w:t>
      </w:r>
      <w:r>
        <w:rPr>
          <w:rFonts w:hint="default" w:ascii="仿宋" w:hAnsi="仿宋" w:eastAsia="仿宋"/>
          <w:sz w:val="28"/>
          <w:szCs w:val="28"/>
        </w:rPr>
        <w:t>202</w:t>
      </w:r>
      <w:r>
        <w:rPr>
          <w:rFonts w:hint="eastAsia" w:ascii="仿宋" w:hAnsi="仿宋" w:eastAsia="仿宋"/>
          <w:sz w:val="28"/>
          <w:szCs w:val="28"/>
          <w:lang w:val="en-US" w:eastAsia="zh-CN"/>
        </w:rPr>
        <w:t>1</w:t>
      </w:r>
      <w:r>
        <w:rPr>
          <w:rFonts w:hint="default" w:ascii="仿宋" w:hAnsi="仿宋" w:eastAsia="仿宋" w:cs="仿宋_GB2312"/>
          <w:sz w:val="28"/>
          <w:szCs w:val="28"/>
        </w:rPr>
        <w:t>年决算基本支出</w:t>
      </w:r>
      <w:r>
        <w:rPr>
          <w:rFonts w:hint="eastAsia" w:ascii="仿宋" w:hAnsi="仿宋" w:eastAsia="仿宋"/>
          <w:sz w:val="28"/>
          <w:szCs w:val="28"/>
          <w:lang w:val="en-US" w:eastAsia="zh-CN"/>
        </w:rPr>
        <w:t>2979.65</w:t>
      </w:r>
      <w:r>
        <w:rPr>
          <w:rFonts w:hint="default" w:ascii="仿宋" w:hAnsi="仿宋" w:eastAsia="仿宋" w:cs="仿宋_GB2312"/>
          <w:sz w:val="28"/>
          <w:szCs w:val="28"/>
        </w:rPr>
        <w:t>万元，其中，工资福利支出</w:t>
      </w:r>
      <w:r>
        <w:rPr>
          <w:rFonts w:hint="eastAsia" w:ascii="仿宋" w:hAnsi="仿宋" w:eastAsia="仿宋"/>
          <w:sz w:val="28"/>
          <w:szCs w:val="28"/>
          <w:lang w:val="en-US" w:eastAsia="zh-CN"/>
        </w:rPr>
        <w:t>2479.45</w:t>
      </w:r>
      <w:r>
        <w:rPr>
          <w:rFonts w:hint="default" w:ascii="仿宋" w:hAnsi="仿宋" w:eastAsia="仿宋" w:cs="仿宋_GB2312"/>
          <w:sz w:val="28"/>
          <w:szCs w:val="28"/>
        </w:rPr>
        <w:t>万元；商品和服务支出</w:t>
      </w:r>
      <w:r>
        <w:rPr>
          <w:rFonts w:hint="eastAsia" w:ascii="仿宋" w:hAnsi="仿宋" w:eastAsia="仿宋"/>
          <w:sz w:val="28"/>
          <w:szCs w:val="28"/>
          <w:lang w:val="en-US" w:eastAsia="zh-CN"/>
        </w:rPr>
        <w:t>317.39</w:t>
      </w:r>
      <w:r>
        <w:rPr>
          <w:rFonts w:hint="default" w:ascii="仿宋" w:hAnsi="仿宋" w:eastAsia="仿宋" w:cs="仿宋_GB2312"/>
          <w:sz w:val="28"/>
          <w:szCs w:val="28"/>
        </w:rPr>
        <w:t>万元；对个人和家庭的补助</w:t>
      </w:r>
      <w:r>
        <w:rPr>
          <w:rFonts w:hint="eastAsia" w:ascii="仿宋" w:hAnsi="仿宋" w:eastAsia="仿宋"/>
          <w:sz w:val="28"/>
          <w:szCs w:val="28"/>
          <w:lang w:val="en-US" w:eastAsia="zh-CN"/>
        </w:rPr>
        <w:t>182.39</w:t>
      </w:r>
      <w:r>
        <w:rPr>
          <w:rFonts w:hint="default" w:ascii="仿宋" w:hAnsi="仿宋" w:eastAsia="仿宋" w:cs="仿宋_GB2312"/>
          <w:sz w:val="28"/>
          <w:szCs w:val="28"/>
        </w:rPr>
        <w:t>万元；其他资本性支出</w:t>
      </w:r>
      <w:r>
        <w:rPr>
          <w:rFonts w:hint="eastAsia" w:ascii="仿宋" w:hAnsi="仿宋" w:eastAsia="仿宋"/>
          <w:sz w:val="28"/>
          <w:szCs w:val="28"/>
          <w:lang w:val="en-US" w:eastAsia="zh-CN"/>
        </w:rPr>
        <w:t>0.42</w:t>
      </w:r>
      <w:r>
        <w:rPr>
          <w:rFonts w:hint="default" w:ascii="仿宋" w:hAnsi="仿宋" w:eastAsia="仿宋" w:cs="仿宋_GB2312"/>
          <w:sz w:val="28"/>
          <w:szCs w:val="28"/>
        </w:rPr>
        <w:t>万元。</w:t>
      </w:r>
      <w:r>
        <w:rPr>
          <w:rFonts w:hint="default" w:ascii="仿宋" w:hAnsi="仿宋" w:eastAsia="仿宋"/>
          <w:color w:val="auto"/>
          <w:sz w:val="28"/>
          <w:szCs w:val="28"/>
        </w:rPr>
        <w:t>202</w:t>
      </w:r>
      <w:r>
        <w:rPr>
          <w:rFonts w:hint="eastAsia" w:ascii="仿宋" w:hAnsi="仿宋" w:eastAsia="仿宋"/>
          <w:color w:val="auto"/>
          <w:sz w:val="28"/>
          <w:szCs w:val="28"/>
          <w:lang w:val="en-US" w:eastAsia="zh-CN"/>
        </w:rPr>
        <w:t>1</w:t>
      </w:r>
      <w:r>
        <w:rPr>
          <w:rFonts w:hint="default" w:ascii="仿宋" w:hAnsi="仿宋" w:eastAsia="仿宋" w:cs="仿宋_GB2312"/>
          <w:color w:val="auto"/>
          <w:sz w:val="28"/>
          <w:szCs w:val="28"/>
        </w:rPr>
        <w:t>年“三公”经费决算数为</w:t>
      </w:r>
      <w:r>
        <w:rPr>
          <w:rFonts w:hint="eastAsia" w:ascii="仿宋" w:hAnsi="仿宋" w:eastAsia="仿宋" w:cs="仿宋_GB2312"/>
          <w:color w:val="auto"/>
          <w:sz w:val="28"/>
          <w:szCs w:val="28"/>
          <w:lang w:val="en-US" w:eastAsia="zh-CN"/>
        </w:rPr>
        <w:t>23.27</w:t>
      </w:r>
      <w:r>
        <w:rPr>
          <w:rFonts w:hint="default" w:ascii="仿宋" w:hAnsi="仿宋" w:eastAsia="仿宋" w:cs="仿宋_GB2312"/>
          <w:color w:val="auto"/>
          <w:sz w:val="28"/>
          <w:szCs w:val="28"/>
        </w:rPr>
        <w:t>万元，其中，公务接待费</w:t>
      </w:r>
      <w:r>
        <w:rPr>
          <w:rFonts w:hint="eastAsia" w:ascii="仿宋" w:hAnsi="仿宋" w:eastAsia="仿宋" w:cs="仿宋_GB2312"/>
          <w:color w:val="auto"/>
          <w:sz w:val="28"/>
          <w:szCs w:val="28"/>
          <w:lang w:val="en-US" w:eastAsia="zh-CN"/>
        </w:rPr>
        <w:t>18.83</w:t>
      </w:r>
      <w:r>
        <w:rPr>
          <w:rFonts w:hint="default" w:ascii="仿宋" w:hAnsi="仿宋" w:eastAsia="仿宋" w:cs="仿宋_GB2312"/>
          <w:color w:val="auto"/>
          <w:sz w:val="28"/>
          <w:szCs w:val="28"/>
        </w:rPr>
        <w:t>万元，公务用车购置及运行费</w:t>
      </w:r>
      <w:r>
        <w:rPr>
          <w:rFonts w:hint="eastAsia" w:ascii="仿宋" w:hAnsi="仿宋" w:eastAsia="仿宋"/>
          <w:color w:val="auto"/>
          <w:sz w:val="28"/>
          <w:szCs w:val="28"/>
          <w:lang w:val="en-US" w:eastAsia="zh-CN"/>
        </w:rPr>
        <w:t>4.44</w:t>
      </w:r>
      <w:r>
        <w:rPr>
          <w:rFonts w:hint="default" w:ascii="仿宋" w:hAnsi="仿宋" w:eastAsia="仿宋" w:cs="仿宋_GB2312"/>
          <w:color w:val="auto"/>
          <w:sz w:val="28"/>
          <w:szCs w:val="28"/>
        </w:rPr>
        <w:t>万元，因公出国（境）费</w:t>
      </w:r>
      <w:r>
        <w:rPr>
          <w:rFonts w:hint="default" w:ascii="仿宋" w:hAnsi="仿宋" w:eastAsia="仿宋"/>
          <w:color w:val="auto"/>
          <w:sz w:val="28"/>
          <w:szCs w:val="28"/>
        </w:rPr>
        <w:t>0</w:t>
      </w:r>
      <w:r>
        <w:rPr>
          <w:rFonts w:hint="default" w:ascii="仿宋" w:hAnsi="仿宋" w:eastAsia="仿宋" w:cs="仿宋_GB2312"/>
          <w:color w:val="auto"/>
          <w:sz w:val="28"/>
          <w:szCs w:val="28"/>
        </w:rPr>
        <w:t>万元。</w:t>
      </w:r>
      <w:r>
        <w:rPr>
          <w:rFonts w:hint="default" w:ascii="仿宋" w:hAnsi="仿宋" w:eastAsia="仿宋"/>
          <w:color w:val="auto"/>
          <w:sz w:val="28"/>
          <w:szCs w:val="28"/>
        </w:rPr>
        <w:t>202</w:t>
      </w:r>
      <w:r>
        <w:rPr>
          <w:rFonts w:hint="eastAsia" w:ascii="仿宋" w:hAnsi="仿宋" w:eastAsia="仿宋"/>
          <w:color w:val="auto"/>
          <w:sz w:val="28"/>
          <w:szCs w:val="28"/>
          <w:lang w:val="en-US" w:eastAsia="zh-CN"/>
        </w:rPr>
        <w:t>1</w:t>
      </w:r>
      <w:r>
        <w:rPr>
          <w:rFonts w:hint="default" w:ascii="仿宋" w:hAnsi="仿宋" w:eastAsia="仿宋" w:cs="仿宋_GB2312"/>
          <w:color w:val="auto"/>
          <w:sz w:val="28"/>
          <w:szCs w:val="28"/>
        </w:rPr>
        <w:t>年“三公”经费决算较</w:t>
      </w:r>
      <w:r>
        <w:rPr>
          <w:rFonts w:hint="eastAsia" w:ascii="仿宋" w:hAnsi="仿宋" w:eastAsia="仿宋"/>
          <w:color w:val="auto"/>
          <w:sz w:val="28"/>
          <w:szCs w:val="28"/>
          <w:lang w:val="en-US" w:eastAsia="zh-CN"/>
        </w:rPr>
        <w:t>2020</w:t>
      </w:r>
      <w:r>
        <w:rPr>
          <w:rFonts w:hint="default" w:ascii="仿宋" w:hAnsi="仿宋" w:eastAsia="仿宋" w:cs="仿宋_GB2312"/>
          <w:color w:val="auto"/>
          <w:sz w:val="28"/>
          <w:szCs w:val="28"/>
        </w:rPr>
        <w:t>年减少</w:t>
      </w:r>
      <w:r>
        <w:rPr>
          <w:rFonts w:hint="eastAsia" w:ascii="仿宋" w:hAnsi="仿宋" w:eastAsia="仿宋"/>
          <w:color w:val="auto"/>
          <w:sz w:val="28"/>
          <w:szCs w:val="28"/>
          <w:lang w:val="en-US" w:eastAsia="zh-CN"/>
        </w:rPr>
        <w:t>1.09</w:t>
      </w:r>
      <w:r>
        <w:rPr>
          <w:rFonts w:hint="default" w:ascii="仿宋" w:hAnsi="仿宋" w:eastAsia="仿宋" w:cs="仿宋_GB2312"/>
          <w:color w:val="auto"/>
          <w:sz w:val="28"/>
          <w:szCs w:val="28"/>
        </w:rPr>
        <w:t>万元，主要是公务接待费用有所节减。</w:t>
      </w:r>
    </w:p>
    <w:p>
      <w:pPr>
        <w:pStyle w:val="11"/>
        <w:widowControl/>
        <w:spacing w:line="435" w:lineRule="atLeast"/>
        <w:ind w:firstLine="555"/>
        <w:jc w:val="both"/>
        <w:rPr>
          <w:rFonts w:hint="default" w:ascii="仿宋" w:hAnsi="仿宋" w:eastAsia="仿宋"/>
          <w:sz w:val="28"/>
          <w:szCs w:val="28"/>
        </w:rPr>
      </w:pPr>
      <w:r>
        <w:rPr>
          <w:rStyle w:val="15"/>
          <w:rFonts w:hint="default" w:ascii="仿宋" w:hAnsi="仿宋" w:eastAsia="仿宋" w:cs="楷体_GB2312"/>
          <w:b w:val="0"/>
          <w:sz w:val="28"/>
          <w:szCs w:val="28"/>
        </w:rPr>
        <w:t>（二）项目支出</w:t>
      </w:r>
    </w:p>
    <w:p>
      <w:pPr>
        <w:pStyle w:val="11"/>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是指</w:t>
      </w:r>
      <w:r>
        <w:rPr>
          <w:rFonts w:hint="eastAsia" w:ascii="仿宋" w:hAnsi="仿宋" w:eastAsia="仿宋" w:cs="仿宋_GB2312"/>
          <w:sz w:val="28"/>
          <w:szCs w:val="28"/>
          <w:lang w:eastAsia="zh-CN"/>
        </w:rPr>
        <w:t>乡镇</w:t>
      </w:r>
      <w:r>
        <w:rPr>
          <w:rFonts w:hint="default" w:ascii="仿宋" w:hAnsi="仿宋" w:eastAsia="仿宋" w:cs="仿宋_GB2312"/>
          <w:sz w:val="28"/>
          <w:szCs w:val="28"/>
        </w:rPr>
        <w:t>各部门为履行工作职能，完成工作任务，需要发生的经常事务性的项目支出和完成特定工作任务或事业发展目标而发生的项目支出(包括通过发改部门立项安排的项目支出)。</w:t>
      </w:r>
      <w:r>
        <w:rPr>
          <w:rFonts w:hint="default" w:ascii="仿宋" w:hAnsi="仿宋" w:eastAsia="仿宋"/>
          <w:sz w:val="28"/>
          <w:szCs w:val="28"/>
        </w:rPr>
        <w:t>202</w:t>
      </w:r>
      <w:r>
        <w:rPr>
          <w:rFonts w:hint="eastAsia" w:ascii="仿宋" w:hAnsi="仿宋" w:eastAsia="仿宋"/>
          <w:sz w:val="28"/>
          <w:szCs w:val="28"/>
          <w:lang w:val="en-US" w:eastAsia="zh-CN"/>
        </w:rPr>
        <w:t>1</w:t>
      </w:r>
      <w:r>
        <w:rPr>
          <w:rFonts w:hint="default" w:ascii="仿宋" w:hAnsi="仿宋" w:eastAsia="仿宋" w:cs="仿宋_GB2312"/>
          <w:sz w:val="28"/>
          <w:szCs w:val="28"/>
        </w:rPr>
        <w:t>年决算项目支出</w:t>
      </w:r>
      <w:r>
        <w:rPr>
          <w:rFonts w:hint="eastAsia" w:ascii="仿宋" w:hAnsi="仿宋" w:eastAsia="仿宋"/>
          <w:sz w:val="28"/>
          <w:szCs w:val="28"/>
          <w:lang w:val="en-US" w:eastAsia="zh-CN"/>
        </w:rPr>
        <w:t>8289.39</w:t>
      </w:r>
      <w:r>
        <w:rPr>
          <w:rFonts w:hint="default" w:ascii="仿宋" w:hAnsi="仿宋" w:eastAsia="仿宋" w:cs="仿宋_GB2312"/>
          <w:sz w:val="28"/>
          <w:szCs w:val="28"/>
        </w:rPr>
        <w:t>万元，其中一般公共服务支出</w:t>
      </w:r>
      <w:r>
        <w:rPr>
          <w:rFonts w:hint="eastAsia" w:ascii="仿宋" w:hAnsi="仿宋" w:eastAsia="仿宋"/>
          <w:sz w:val="28"/>
          <w:szCs w:val="28"/>
          <w:lang w:val="en-US" w:eastAsia="zh-CN"/>
        </w:rPr>
        <w:t>3501.35</w:t>
      </w:r>
      <w:r>
        <w:rPr>
          <w:rFonts w:hint="default" w:ascii="仿宋" w:hAnsi="仿宋" w:eastAsia="仿宋" w:cs="仿宋_GB2312"/>
          <w:sz w:val="28"/>
          <w:szCs w:val="28"/>
        </w:rPr>
        <w:t>万元，主要是环境卫生整治及其他一般事务性项目支出；公共安全支出</w:t>
      </w:r>
      <w:r>
        <w:rPr>
          <w:rFonts w:hint="eastAsia" w:ascii="仿宋" w:hAnsi="仿宋" w:eastAsia="仿宋"/>
          <w:sz w:val="28"/>
          <w:szCs w:val="28"/>
          <w:lang w:val="en-US" w:eastAsia="zh-CN"/>
        </w:rPr>
        <w:t>2.29</w:t>
      </w:r>
      <w:r>
        <w:rPr>
          <w:rFonts w:hint="default" w:ascii="仿宋" w:hAnsi="仿宋" w:eastAsia="仿宋" w:cs="仿宋_GB2312"/>
          <w:sz w:val="28"/>
          <w:szCs w:val="28"/>
        </w:rPr>
        <w:t>万元，</w:t>
      </w:r>
      <w:r>
        <w:rPr>
          <w:rFonts w:ascii="仿宋" w:hAnsi="仿宋" w:eastAsia="仿宋" w:cs="仿宋_GB2312"/>
          <w:sz w:val="28"/>
          <w:szCs w:val="28"/>
        </w:rPr>
        <w:t>主要是综治维稳、禁毒等工作经费；</w:t>
      </w:r>
      <w:r>
        <w:rPr>
          <w:rFonts w:hint="default" w:ascii="仿宋" w:hAnsi="仿宋" w:eastAsia="仿宋" w:cs="仿宋_GB2312"/>
          <w:sz w:val="28"/>
          <w:szCs w:val="28"/>
        </w:rPr>
        <w:t>教育支出</w:t>
      </w:r>
      <w:r>
        <w:rPr>
          <w:rFonts w:hint="eastAsia" w:ascii="仿宋" w:hAnsi="仿宋" w:eastAsia="仿宋"/>
          <w:sz w:val="28"/>
          <w:szCs w:val="28"/>
          <w:lang w:val="en-US" w:eastAsia="zh-CN"/>
        </w:rPr>
        <w:t>307.74</w:t>
      </w:r>
      <w:r>
        <w:rPr>
          <w:rFonts w:hint="default" w:ascii="仿宋" w:hAnsi="仿宋" w:eastAsia="仿宋" w:cs="仿宋_GB2312"/>
          <w:sz w:val="28"/>
          <w:szCs w:val="28"/>
        </w:rPr>
        <w:t>万元，主要是学校建设投入</w:t>
      </w:r>
      <w:r>
        <w:rPr>
          <w:rFonts w:ascii="仿宋" w:hAnsi="仿宋" w:eastAsia="仿宋" w:cs="仿宋_GB2312"/>
          <w:sz w:val="28"/>
          <w:szCs w:val="28"/>
        </w:rPr>
        <w:t>；</w:t>
      </w:r>
      <w:r>
        <w:rPr>
          <w:rFonts w:hint="default" w:ascii="仿宋" w:hAnsi="仿宋" w:eastAsia="仿宋" w:cs="仿宋_GB2312"/>
          <w:sz w:val="28"/>
          <w:szCs w:val="28"/>
        </w:rPr>
        <w:t>文化体育与传媒支出</w:t>
      </w:r>
      <w:r>
        <w:rPr>
          <w:rFonts w:hint="eastAsia" w:ascii="仿宋" w:hAnsi="仿宋" w:eastAsia="仿宋"/>
          <w:sz w:val="28"/>
          <w:szCs w:val="28"/>
          <w:lang w:val="en-US" w:eastAsia="zh-CN"/>
        </w:rPr>
        <w:t>17.3</w:t>
      </w:r>
      <w:r>
        <w:rPr>
          <w:rFonts w:hint="default" w:ascii="仿宋" w:hAnsi="仿宋" w:eastAsia="仿宋" w:cs="仿宋_GB2312"/>
          <w:sz w:val="28"/>
          <w:szCs w:val="28"/>
        </w:rPr>
        <w:t>万元</w:t>
      </w:r>
      <w:r>
        <w:rPr>
          <w:rFonts w:ascii="仿宋" w:hAnsi="仿宋" w:eastAsia="仿宋" w:cs="仿宋_GB2312"/>
          <w:sz w:val="28"/>
          <w:szCs w:val="28"/>
        </w:rPr>
        <w:t>，主要是图书馆、文化馆及文物保护等经费</w:t>
      </w:r>
      <w:r>
        <w:rPr>
          <w:rFonts w:hint="default" w:ascii="仿宋" w:hAnsi="仿宋" w:eastAsia="仿宋" w:cs="仿宋_GB2312"/>
          <w:sz w:val="28"/>
          <w:szCs w:val="28"/>
        </w:rPr>
        <w:t>；社会保障和就业</w:t>
      </w:r>
      <w:r>
        <w:rPr>
          <w:rFonts w:hint="eastAsia" w:ascii="仿宋" w:hAnsi="仿宋" w:eastAsia="仿宋"/>
          <w:sz w:val="28"/>
          <w:szCs w:val="28"/>
          <w:lang w:val="en-US" w:eastAsia="zh-CN"/>
        </w:rPr>
        <w:t>291.98</w:t>
      </w:r>
      <w:r>
        <w:rPr>
          <w:rFonts w:hint="default" w:ascii="仿宋" w:hAnsi="仿宋" w:eastAsia="仿宋" w:cs="仿宋_GB2312"/>
          <w:sz w:val="28"/>
          <w:szCs w:val="28"/>
        </w:rPr>
        <w:t>万元，主要是死亡抚恤、临时救济、高龄补贴等；卫生健康支出</w:t>
      </w:r>
      <w:r>
        <w:rPr>
          <w:rFonts w:hint="eastAsia" w:ascii="仿宋" w:hAnsi="仿宋" w:eastAsia="仿宋"/>
          <w:sz w:val="28"/>
          <w:szCs w:val="28"/>
          <w:lang w:val="en-US" w:eastAsia="zh-CN"/>
        </w:rPr>
        <w:t>189.99</w:t>
      </w:r>
      <w:r>
        <w:rPr>
          <w:rFonts w:hint="default" w:ascii="仿宋" w:hAnsi="仿宋" w:eastAsia="仿宋" w:cs="仿宋_GB2312"/>
          <w:sz w:val="28"/>
          <w:szCs w:val="28"/>
        </w:rPr>
        <w:t>万元，主要是新冠肺炎防控支出、计划生育支出；节能环保支出</w:t>
      </w:r>
      <w:r>
        <w:rPr>
          <w:rFonts w:hint="eastAsia" w:ascii="仿宋" w:hAnsi="仿宋" w:eastAsia="仿宋"/>
          <w:sz w:val="28"/>
          <w:szCs w:val="28"/>
          <w:lang w:val="en-US" w:eastAsia="zh-CN"/>
        </w:rPr>
        <w:t>174.51</w:t>
      </w:r>
      <w:r>
        <w:rPr>
          <w:rFonts w:hint="default" w:ascii="仿宋" w:hAnsi="仿宋" w:eastAsia="仿宋" w:cs="仿宋_GB2312"/>
          <w:sz w:val="28"/>
          <w:szCs w:val="28"/>
        </w:rPr>
        <w:t>万元，主要是环境卫生整治、</w:t>
      </w:r>
      <w:r>
        <w:rPr>
          <w:rFonts w:hint="eastAsia" w:ascii="仿宋" w:hAnsi="仿宋" w:eastAsia="仿宋" w:cs="仿宋_GB2312"/>
          <w:sz w:val="28"/>
          <w:szCs w:val="28"/>
          <w:lang w:eastAsia="zh-CN"/>
        </w:rPr>
        <w:t>垃圾站建设</w:t>
      </w:r>
      <w:r>
        <w:rPr>
          <w:rFonts w:hint="default" w:ascii="仿宋" w:hAnsi="仿宋" w:eastAsia="仿宋" w:cs="仿宋_GB2312"/>
          <w:sz w:val="28"/>
          <w:szCs w:val="28"/>
        </w:rPr>
        <w:t>项目等；城乡社区支出</w:t>
      </w:r>
      <w:r>
        <w:rPr>
          <w:rFonts w:hint="eastAsia" w:ascii="仿宋" w:hAnsi="仿宋" w:eastAsia="仿宋"/>
          <w:sz w:val="28"/>
          <w:szCs w:val="28"/>
          <w:lang w:val="en-US" w:eastAsia="zh-CN"/>
        </w:rPr>
        <w:t>2299.96</w:t>
      </w:r>
      <w:r>
        <w:rPr>
          <w:rFonts w:hint="default" w:ascii="仿宋" w:hAnsi="仿宋" w:eastAsia="仿宋" w:cs="仿宋_GB2312"/>
          <w:sz w:val="28"/>
          <w:szCs w:val="28"/>
        </w:rPr>
        <w:t>万元，主要是社区建设</w:t>
      </w:r>
      <w:r>
        <w:rPr>
          <w:rFonts w:ascii="仿宋" w:hAnsi="仿宋" w:eastAsia="仿宋" w:cs="仿宋_GB2312"/>
          <w:sz w:val="28"/>
          <w:szCs w:val="28"/>
        </w:rPr>
        <w:t>、土地成本返还</w:t>
      </w:r>
      <w:r>
        <w:rPr>
          <w:rFonts w:hint="default" w:ascii="仿宋" w:hAnsi="仿宋" w:eastAsia="仿宋" w:cs="仿宋_GB2312"/>
          <w:sz w:val="28"/>
          <w:szCs w:val="28"/>
        </w:rPr>
        <w:t>等；农林水事务支出</w:t>
      </w:r>
      <w:r>
        <w:rPr>
          <w:rFonts w:hint="eastAsia" w:ascii="仿宋" w:hAnsi="仿宋" w:eastAsia="仿宋"/>
          <w:sz w:val="28"/>
          <w:szCs w:val="28"/>
          <w:lang w:val="en-US" w:eastAsia="zh-CN"/>
        </w:rPr>
        <w:t>1228.23</w:t>
      </w:r>
      <w:r>
        <w:rPr>
          <w:rFonts w:hint="default" w:ascii="仿宋" w:hAnsi="仿宋" w:eastAsia="仿宋" w:cs="仿宋_GB2312"/>
          <w:sz w:val="28"/>
          <w:szCs w:val="28"/>
        </w:rPr>
        <w:t>万元，主要是公路建设、水利建设、农村厕所改造、扶贫、村级一事一议项目及转移支付等；交通运输支出</w:t>
      </w:r>
      <w:r>
        <w:rPr>
          <w:rFonts w:hint="eastAsia" w:ascii="仿宋" w:hAnsi="仿宋" w:eastAsia="仿宋"/>
          <w:sz w:val="28"/>
          <w:szCs w:val="28"/>
          <w:lang w:val="en-US" w:eastAsia="zh-CN"/>
        </w:rPr>
        <w:t>212.37</w:t>
      </w:r>
      <w:r>
        <w:rPr>
          <w:rFonts w:hint="default" w:ascii="仿宋" w:hAnsi="仿宋" w:eastAsia="仿宋" w:cs="仿宋_GB2312"/>
          <w:sz w:val="28"/>
          <w:szCs w:val="28"/>
        </w:rPr>
        <w:t>万元，主要用于公路保洁及养护等项目；</w:t>
      </w:r>
      <w:r>
        <w:rPr>
          <w:rFonts w:ascii="仿宋" w:hAnsi="仿宋" w:eastAsia="仿宋" w:cs="仿宋_GB2312"/>
          <w:sz w:val="28"/>
          <w:szCs w:val="28"/>
        </w:rPr>
        <w:t>商业服务业等支出</w:t>
      </w:r>
      <w:r>
        <w:rPr>
          <w:rFonts w:hint="eastAsia" w:ascii="仿宋" w:hAnsi="仿宋" w:eastAsia="仿宋" w:cs="仿宋_GB2312"/>
          <w:sz w:val="28"/>
          <w:szCs w:val="28"/>
          <w:lang w:val="en-US" w:eastAsia="zh-CN"/>
        </w:rPr>
        <w:t>1.51</w:t>
      </w:r>
      <w:r>
        <w:rPr>
          <w:rFonts w:ascii="仿宋" w:hAnsi="仿宋" w:eastAsia="仿宋" w:cs="仿宋_GB2312"/>
          <w:sz w:val="28"/>
          <w:szCs w:val="28"/>
        </w:rPr>
        <w:t>万元，主要是牲猪调出大县奖励</w:t>
      </w:r>
      <w:r>
        <w:rPr>
          <w:rFonts w:hint="default" w:ascii="仿宋" w:hAnsi="仿宋" w:eastAsia="仿宋" w:cs="仿宋_GB2312"/>
          <w:sz w:val="28"/>
          <w:szCs w:val="28"/>
        </w:rPr>
        <w:t>；</w:t>
      </w:r>
      <w:r>
        <w:rPr>
          <w:rFonts w:ascii="仿宋" w:hAnsi="仿宋" w:eastAsia="仿宋" w:cs="仿宋_GB2312"/>
          <w:sz w:val="28"/>
          <w:szCs w:val="28"/>
        </w:rPr>
        <w:t>粮油物资储备支出8万元，主要用于早籼稻收购补贴；灾害防治及应急管理支出</w:t>
      </w:r>
      <w:r>
        <w:rPr>
          <w:rFonts w:hint="eastAsia" w:ascii="仿宋" w:hAnsi="仿宋" w:eastAsia="仿宋" w:cs="仿宋_GB2312"/>
          <w:sz w:val="28"/>
          <w:szCs w:val="28"/>
          <w:lang w:val="en-US" w:eastAsia="zh-CN"/>
        </w:rPr>
        <w:t>30.31</w:t>
      </w:r>
      <w:r>
        <w:rPr>
          <w:rFonts w:ascii="仿宋" w:hAnsi="仿宋" w:eastAsia="仿宋" w:cs="仿宋_GB2312"/>
          <w:sz w:val="28"/>
          <w:szCs w:val="28"/>
        </w:rPr>
        <w:t>万元，主要用于</w:t>
      </w:r>
      <w:r>
        <w:rPr>
          <w:rFonts w:hint="eastAsia" w:ascii="仿宋" w:hAnsi="仿宋" w:eastAsia="仿宋" w:cs="仿宋_GB2312"/>
          <w:sz w:val="28"/>
          <w:szCs w:val="28"/>
          <w:lang w:eastAsia="zh-CN"/>
        </w:rPr>
        <w:t>冰雪</w:t>
      </w:r>
      <w:r>
        <w:rPr>
          <w:rFonts w:ascii="仿宋" w:hAnsi="仿宋" w:eastAsia="仿宋" w:cs="仿宋_GB2312"/>
          <w:sz w:val="28"/>
          <w:szCs w:val="28"/>
        </w:rPr>
        <w:t>灾害治理工程；</w:t>
      </w:r>
      <w:r>
        <w:rPr>
          <w:rFonts w:hint="default" w:ascii="仿宋" w:hAnsi="仿宋" w:eastAsia="仿宋" w:cs="仿宋_GB2312"/>
          <w:sz w:val="28"/>
          <w:szCs w:val="28"/>
        </w:rPr>
        <w:t>其他支出</w:t>
      </w:r>
      <w:r>
        <w:rPr>
          <w:rFonts w:hint="eastAsia" w:ascii="仿宋" w:hAnsi="仿宋" w:eastAsia="仿宋"/>
          <w:sz w:val="28"/>
          <w:szCs w:val="28"/>
          <w:lang w:val="en-US" w:eastAsia="zh-CN"/>
        </w:rPr>
        <w:t>13.5</w:t>
      </w:r>
      <w:r>
        <w:rPr>
          <w:rFonts w:hint="default" w:ascii="仿宋" w:hAnsi="仿宋" w:eastAsia="仿宋" w:cs="仿宋_GB2312"/>
          <w:sz w:val="28"/>
          <w:szCs w:val="28"/>
        </w:rPr>
        <w:t>万元，主要用于</w:t>
      </w:r>
      <w:r>
        <w:rPr>
          <w:rFonts w:ascii="仿宋" w:hAnsi="仿宋" w:eastAsia="仿宋" w:cs="仿宋_GB2312"/>
          <w:sz w:val="28"/>
          <w:szCs w:val="28"/>
        </w:rPr>
        <w:t>福利彩票支出</w:t>
      </w:r>
      <w:r>
        <w:rPr>
          <w:rFonts w:hint="default" w:ascii="仿宋" w:hAnsi="仿宋" w:eastAsia="仿宋" w:cs="仿宋_GB2312"/>
          <w:sz w:val="28"/>
          <w:szCs w:val="28"/>
        </w:rPr>
        <w:t>等。</w:t>
      </w:r>
    </w:p>
    <w:p>
      <w:pPr>
        <w:pStyle w:val="11"/>
        <w:widowControl/>
        <w:spacing w:line="435" w:lineRule="atLeast"/>
        <w:ind w:firstLine="555"/>
        <w:rPr>
          <w:rFonts w:hint="default" w:ascii="仿宋" w:hAnsi="仿宋" w:eastAsia="仿宋"/>
          <w:sz w:val="28"/>
          <w:szCs w:val="28"/>
        </w:rPr>
      </w:pPr>
      <w:r>
        <w:rPr>
          <w:rFonts w:ascii="仿宋" w:hAnsi="仿宋" w:eastAsia="仿宋" w:cs="黑体"/>
          <w:sz w:val="28"/>
          <w:szCs w:val="28"/>
        </w:rPr>
        <w:t>三、部门项目组织实施情况</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建立健全</w:t>
      </w:r>
      <w:r>
        <w:rPr>
          <w:rFonts w:ascii="仿宋" w:hAnsi="仿宋" w:eastAsia="仿宋" w:cs="仿宋_GB2312"/>
          <w:sz w:val="28"/>
          <w:szCs w:val="28"/>
        </w:rPr>
        <w:t>乡镇</w:t>
      </w:r>
      <w:r>
        <w:rPr>
          <w:rFonts w:hint="default" w:ascii="仿宋" w:hAnsi="仿宋" w:eastAsia="仿宋" w:cs="仿宋_GB2312"/>
          <w:sz w:val="28"/>
          <w:szCs w:val="28"/>
        </w:rPr>
        <w:t>、</w:t>
      </w:r>
      <w:r>
        <w:rPr>
          <w:rFonts w:ascii="仿宋" w:hAnsi="仿宋" w:eastAsia="仿宋" w:cs="仿宋_GB2312"/>
          <w:sz w:val="28"/>
          <w:szCs w:val="28"/>
        </w:rPr>
        <w:t>村（</w:t>
      </w:r>
      <w:r>
        <w:rPr>
          <w:rFonts w:hint="default" w:ascii="仿宋" w:hAnsi="仿宋" w:eastAsia="仿宋" w:cs="仿宋_GB2312"/>
          <w:sz w:val="28"/>
          <w:szCs w:val="28"/>
        </w:rPr>
        <w:t>社区</w:t>
      </w:r>
      <w:r>
        <w:rPr>
          <w:rFonts w:ascii="仿宋" w:hAnsi="仿宋" w:eastAsia="仿宋" w:cs="仿宋_GB2312"/>
          <w:sz w:val="28"/>
          <w:szCs w:val="28"/>
        </w:rPr>
        <w:t>）</w:t>
      </w:r>
      <w:r>
        <w:rPr>
          <w:rFonts w:hint="default" w:ascii="仿宋" w:hAnsi="仿宋" w:eastAsia="仿宋" w:cs="仿宋_GB2312"/>
          <w:sz w:val="28"/>
          <w:szCs w:val="28"/>
        </w:rPr>
        <w:t>财务制度，规范项目招投标管理流程，落实政府采购政策，加强项目抽查巡查力度，确保项目建设规范有序，社会效益及群众满意率达标。坚持保正常运转，保重点支出，保民生支出，保障</w:t>
      </w:r>
      <w:r>
        <w:rPr>
          <w:rFonts w:ascii="仿宋" w:hAnsi="仿宋" w:eastAsia="仿宋" w:cs="仿宋_GB2312"/>
          <w:sz w:val="28"/>
          <w:szCs w:val="28"/>
        </w:rPr>
        <w:t>镇、村</w:t>
      </w:r>
      <w:r>
        <w:rPr>
          <w:rFonts w:hint="default" w:ascii="仿宋" w:hAnsi="仿宋" w:eastAsia="仿宋" w:cs="仿宋_GB2312"/>
          <w:sz w:val="28"/>
          <w:szCs w:val="28"/>
        </w:rPr>
        <w:t>干部基本待遇稳步增长的工作原则，按月按季及时落实，全力确保社会大局稳定。财政支出继续向广大人民群众关心的民生问题和社区部门倾斜，较大幅度提高了财政支出用于社区基层设施建设、社区人居环境整治、社会保障、教育卫生事业。</w:t>
      </w:r>
      <w:r>
        <w:rPr>
          <w:rFonts w:ascii="仿宋" w:hAnsi="仿宋" w:eastAsia="仿宋" w:cs="仿宋_GB2312"/>
          <w:sz w:val="28"/>
          <w:szCs w:val="28"/>
        </w:rPr>
        <w:t>村</w:t>
      </w:r>
      <w:r>
        <w:rPr>
          <w:rFonts w:hint="default" w:ascii="仿宋" w:hAnsi="仿宋" w:eastAsia="仿宋" w:cs="仿宋_GB2312"/>
          <w:sz w:val="28"/>
          <w:szCs w:val="28"/>
        </w:rPr>
        <w:t>账务代理工作有条不紊，及时完成社区财务清理和互联网公开工作，增强社区财务的透明度。</w:t>
      </w:r>
    </w:p>
    <w:p>
      <w:pPr>
        <w:pStyle w:val="11"/>
        <w:widowControl/>
        <w:spacing w:line="435" w:lineRule="atLeast"/>
        <w:ind w:firstLine="555"/>
        <w:rPr>
          <w:rFonts w:hint="default" w:ascii="仿宋" w:hAnsi="仿宋" w:eastAsia="仿宋"/>
          <w:sz w:val="28"/>
          <w:szCs w:val="28"/>
        </w:rPr>
      </w:pPr>
      <w:r>
        <w:rPr>
          <w:rFonts w:ascii="仿宋" w:hAnsi="仿宋" w:eastAsia="仿宋" w:cs="黑体"/>
          <w:sz w:val="28"/>
          <w:szCs w:val="28"/>
        </w:rPr>
        <w:t>四、资产管理情况</w:t>
      </w:r>
    </w:p>
    <w:p>
      <w:pPr>
        <w:pStyle w:val="11"/>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本单位资产由街道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w:t>
      </w:r>
      <w:r>
        <w:rPr>
          <w:rFonts w:hint="default" w:ascii="仿宋" w:hAnsi="仿宋" w:eastAsia="仿宋"/>
          <w:sz w:val="28"/>
          <w:szCs w:val="28"/>
        </w:rPr>
        <w:t>202</w:t>
      </w:r>
      <w:r>
        <w:rPr>
          <w:rFonts w:hint="eastAsia" w:ascii="仿宋" w:hAnsi="仿宋" w:eastAsia="仿宋"/>
          <w:sz w:val="28"/>
          <w:szCs w:val="28"/>
          <w:lang w:val="en-US" w:eastAsia="zh-CN"/>
        </w:rPr>
        <w:t>1</w:t>
      </w:r>
      <w:r>
        <w:rPr>
          <w:rFonts w:hint="default" w:ascii="仿宋" w:hAnsi="仿宋" w:eastAsia="仿宋" w:cs="仿宋_GB2312"/>
          <w:sz w:val="28"/>
          <w:szCs w:val="28"/>
        </w:rPr>
        <w:t>年</w:t>
      </w:r>
      <w:r>
        <w:rPr>
          <w:rFonts w:hint="default" w:ascii="仿宋" w:hAnsi="仿宋" w:eastAsia="仿宋"/>
          <w:sz w:val="28"/>
          <w:szCs w:val="28"/>
        </w:rPr>
        <w:t>12</w:t>
      </w:r>
      <w:r>
        <w:rPr>
          <w:rFonts w:hint="default" w:ascii="仿宋" w:hAnsi="仿宋" w:eastAsia="仿宋" w:cs="仿宋_GB2312"/>
          <w:sz w:val="28"/>
          <w:szCs w:val="28"/>
        </w:rPr>
        <w:t>月</w:t>
      </w:r>
      <w:r>
        <w:rPr>
          <w:rFonts w:hint="default" w:ascii="仿宋" w:hAnsi="仿宋" w:eastAsia="仿宋"/>
          <w:sz w:val="28"/>
          <w:szCs w:val="28"/>
        </w:rPr>
        <w:t>31</w:t>
      </w:r>
      <w:r>
        <w:rPr>
          <w:rFonts w:hint="default" w:ascii="仿宋" w:hAnsi="仿宋" w:eastAsia="仿宋" w:cs="仿宋_GB2312"/>
          <w:sz w:val="28"/>
          <w:szCs w:val="28"/>
        </w:rPr>
        <w:t>日，本单位资产构成情况为流动资产</w:t>
      </w:r>
      <w:r>
        <w:rPr>
          <w:rFonts w:hint="eastAsia" w:ascii="仿宋" w:hAnsi="仿宋" w:eastAsia="仿宋"/>
          <w:sz w:val="28"/>
          <w:szCs w:val="28"/>
          <w:lang w:val="en-US" w:eastAsia="zh-CN"/>
        </w:rPr>
        <w:t>4430.38万</w:t>
      </w:r>
      <w:r>
        <w:rPr>
          <w:rFonts w:hint="default" w:ascii="仿宋" w:hAnsi="仿宋" w:eastAsia="仿宋" w:cs="仿宋_GB2312"/>
          <w:sz w:val="28"/>
          <w:szCs w:val="28"/>
        </w:rPr>
        <w:t>元、固定资产</w:t>
      </w:r>
      <w:r>
        <w:rPr>
          <w:rFonts w:hint="eastAsia" w:ascii="仿宋" w:hAnsi="仿宋" w:eastAsia="仿宋" w:cs="仿宋_GB2312"/>
          <w:sz w:val="28"/>
          <w:szCs w:val="28"/>
          <w:lang w:val="en-US" w:eastAsia="zh-CN"/>
        </w:rPr>
        <w:t>3747.81</w:t>
      </w:r>
      <w:r>
        <w:rPr>
          <w:rFonts w:hint="default" w:ascii="仿宋" w:hAnsi="仿宋" w:eastAsia="仿宋" w:cs="仿宋_GB2312"/>
          <w:sz w:val="28"/>
          <w:szCs w:val="28"/>
        </w:rPr>
        <w:t>万元、</w:t>
      </w:r>
      <w:r>
        <w:rPr>
          <w:rFonts w:ascii="仿宋" w:hAnsi="仿宋" w:eastAsia="仿宋" w:cs="仿宋_GB2312"/>
          <w:sz w:val="28"/>
          <w:szCs w:val="28"/>
        </w:rPr>
        <w:t>在建工程</w:t>
      </w:r>
      <w:r>
        <w:rPr>
          <w:rFonts w:hint="eastAsia" w:ascii="仿宋" w:hAnsi="仿宋" w:eastAsia="仿宋" w:cs="仿宋_GB2312"/>
          <w:sz w:val="28"/>
          <w:szCs w:val="28"/>
          <w:lang w:val="en-US" w:eastAsia="zh-CN"/>
        </w:rPr>
        <w:t>237.29</w:t>
      </w:r>
      <w:r>
        <w:rPr>
          <w:rFonts w:ascii="仿宋" w:hAnsi="仿宋" w:eastAsia="仿宋" w:cs="仿宋_GB2312"/>
          <w:sz w:val="28"/>
          <w:szCs w:val="28"/>
        </w:rPr>
        <w:t>万元</w:t>
      </w:r>
      <w:r>
        <w:rPr>
          <w:rFonts w:hint="eastAsia" w:ascii="仿宋" w:hAnsi="仿宋" w:eastAsia="仿宋" w:cs="仿宋_GB2312"/>
          <w:sz w:val="28"/>
          <w:szCs w:val="28"/>
          <w:lang w:eastAsia="zh-CN"/>
        </w:rPr>
        <w:t>，公共基础设施</w:t>
      </w:r>
      <w:r>
        <w:rPr>
          <w:rFonts w:hint="eastAsia" w:ascii="仿宋" w:hAnsi="仿宋" w:eastAsia="仿宋" w:cs="仿宋_GB2312"/>
          <w:sz w:val="28"/>
          <w:szCs w:val="28"/>
          <w:lang w:val="en-US" w:eastAsia="zh-CN"/>
        </w:rPr>
        <w:t>35187.33</w:t>
      </w:r>
      <w:r>
        <w:rPr>
          <w:rFonts w:ascii="仿宋" w:hAnsi="仿宋" w:eastAsia="仿宋" w:cs="仿宋_GB2312"/>
          <w:sz w:val="28"/>
          <w:szCs w:val="28"/>
        </w:rPr>
        <w:t>；</w:t>
      </w:r>
      <w:r>
        <w:rPr>
          <w:rFonts w:hint="default" w:ascii="仿宋" w:hAnsi="仿宋" w:eastAsia="仿宋" w:cs="仿宋_GB2312"/>
          <w:sz w:val="28"/>
          <w:szCs w:val="28"/>
        </w:rPr>
        <w:t>固定资产的具体构成情况为：</w:t>
      </w:r>
      <w:r>
        <w:rPr>
          <w:rFonts w:ascii="仿宋" w:hAnsi="仿宋" w:eastAsia="仿宋" w:cs="仿宋_GB2312"/>
          <w:sz w:val="28"/>
          <w:szCs w:val="28"/>
        </w:rPr>
        <w:t>土地房屋构筑物</w:t>
      </w:r>
      <w:r>
        <w:rPr>
          <w:rFonts w:hint="eastAsia" w:ascii="仿宋" w:hAnsi="仿宋" w:eastAsia="仿宋" w:cs="仿宋_GB2312"/>
          <w:sz w:val="28"/>
          <w:szCs w:val="28"/>
          <w:lang w:val="en-US" w:eastAsia="zh-CN"/>
        </w:rPr>
        <w:t>3482.09</w:t>
      </w:r>
      <w:r>
        <w:rPr>
          <w:rFonts w:ascii="仿宋" w:hAnsi="仿宋" w:eastAsia="仿宋" w:cs="仿宋_GB2312"/>
          <w:sz w:val="28"/>
          <w:szCs w:val="28"/>
        </w:rPr>
        <w:t>万元，</w:t>
      </w:r>
      <w:r>
        <w:rPr>
          <w:rFonts w:hint="default" w:ascii="仿宋" w:hAnsi="仿宋" w:eastAsia="仿宋" w:cs="仿宋_GB2312"/>
          <w:sz w:val="28"/>
          <w:szCs w:val="28"/>
        </w:rPr>
        <w:t xml:space="preserve"> 通用设备</w:t>
      </w:r>
      <w:r>
        <w:rPr>
          <w:rFonts w:hint="eastAsia" w:ascii="仿宋" w:hAnsi="仿宋" w:eastAsia="仿宋"/>
          <w:sz w:val="28"/>
          <w:szCs w:val="28"/>
          <w:lang w:val="en-US" w:eastAsia="zh-CN"/>
        </w:rPr>
        <w:t>187.24</w:t>
      </w:r>
      <w:r>
        <w:rPr>
          <w:rFonts w:ascii="仿宋" w:hAnsi="仿宋" w:eastAsia="仿宋"/>
          <w:sz w:val="28"/>
          <w:szCs w:val="28"/>
        </w:rPr>
        <w:t>万元</w:t>
      </w:r>
      <w:r>
        <w:rPr>
          <w:rFonts w:hint="default" w:ascii="仿宋" w:hAnsi="仿宋" w:eastAsia="仿宋" w:cs="仿宋_GB2312"/>
          <w:sz w:val="28"/>
          <w:szCs w:val="28"/>
        </w:rPr>
        <w:t>，专用设备</w:t>
      </w:r>
      <w:r>
        <w:rPr>
          <w:rFonts w:hint="eastAsia" w:ascii="仿宋" w:hAnsi="仿宋" w:eastAsia="仿宋"/>
          <w:sz w:val="28"/>
          <w:szCs w:val="28"/>
          <w:lang w:val="en-US" w:eastAsia="zh-CN"/>
        </w:rPr>
        <w:t>18.4</w:t>
      </w:r>
      <w:r>
        <w:rPr>
          <w:rFonts w:hint="default" w:ascii="仿宋" w:hAnsi="仿宋" w:eastAsia="仿宋" w:cs="仿宋_GB2312"/>
          <w:sz w:val="28"/>
          <w:szCs w:val="28"/>
        </w:rPr>
        <w:t>万</w:t>
      </w:r>
      <w:r>
        <w:rPr>
          <w:rFonts w:ascii="仿宋" w:hAnsi="仿宋" w:eastAsia="仿宋" w:cs="仿宋_GB2312"/>
          <w:sz w:val="28"/>
          <w:szCs w:val="28"/>
        </w:rPr>
        <w:t>元</w:t>
      </w:r>
      <w:r>
        <w:rPr>
          <w:rFonts w:hint="default" w:ascii="仿宋" w:hAnsi="仿宋" w:eastAsia="仿宋" w:cs="仿宋_GB2312"/>
          <w:sz w:val="28"/>
          <w:szCs w:val="28"/>
        </w:rPr>
        <w:t>，家具用具装具及动植物</w:t>
      </w:r>
      <w:r>
        <w:rPr>
          <w:rFonts w:hint="eastAsia" w:ascii="仿宋" w:hAnsi="仿宋" w:eastAsia="仿宋"/>
          <w:sz w:val="28"/>
          <w:szCs w:val="28"/>
          <w:lang w:val="en-US" w:eastAsia="zh-CN"/>
        </w:rPr>
        <w:t>60.08</w:t>
      </w:r>
      <w:r>
        <w:rPr>
          <w:rFonts w:hint="default" w:ascii="仿宋" w:hAnsi="仿宋" w:eastAsia="仿宋" w:cs="仿宋_GB2312"/>
          <w:sz w:val="28"/>
          <w:szCs w:val="28"/>
        </w:rPr>
        <w:t>万元。</w:t>
      </w:r>
    </w:p>
    <w:p>
      <w:pPr>
        <w:pStyle w:val="11"/>
        <w:widowControl/>
        <w:spacing w:line="435" w:lineRule="atLeast"/>
        <w:ind w:firstLine="555"/>
        <w:rPr>
          <w:rFonts w:hint="default" w:ascii="仿宋" w:hAnsi="仿宋" w:eastAsia="仿宋"/>
          <w:sz w:val="28"/>
          <w:szCs w:val="28"/>
        </w:rPr>
      </w:pPr>
      <w:r>
        <w:rPr>
          <w:rFonts w:ascii="仿宋" w:hAnsi="仿宋" w:eastAsia="仿宋" w:cs="黑体"/>
          <w:sz w:val="28"/>
          <w:szCs w:val="28"/>
        </w:rPr>
        <w:t>五、部门整体支出绩效情况</w:t>
      </w:r>
    </w:p>
    <w:p>
      <w:pPr>
        <w:pStyle w:val="11"/>
        <w:widowControl/>
        <w:spacing w:line="435" w:lineRule="atLeast"/>
        <w:ind w:firstLine="555"/>
        <w:jc w:val="both"/>
        <w:rPr>
          <w:rFonts w:hint="default" w:ascii="仿宋" w:hAnsi="仿宋" w:eastAsia="仿宋"/>
          <w:sz w:val="28"/>
          <w:szCs w:val="28"/>
        </w:rPr>
      </w:pPr>
      <w:r>
        <w:rPr>
          <w:rStyle w:val="15"/>
          <w:rFonts w:hint="default" w:ascii="仿宋" w:hAnsi="仿宋" w:eastAsia="仿宋" w:cs="楷体_GB2312"/>
          <w:b w:val="0"/>
          <w:sz w:val="28"/>
          <w:szCs w:val="28"/>
        </w:rPr>
        <w:t>（一）产出指标完成情况 </w:t>
      </w:r>
    </w:p>
    <w:p>
      <w:pPr>
        <w:adjustRightInd w:val="0"/>
        <w:snapToGrid w:val="0"/>
        <w:spacing w:line="560" w:lineRule="exact"/>
        <w:ind w:firstLine="560" w:firstLineChars="200"/>
        <w:textAlignment w:val="baseline"/>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sz w:val="28"/>
          <w:szCs w:val="28"/>
        </w:rPr>
        <w:t>财政拨款支出主要用于保障我镇机构正常运转、完成日常工作任务以及特定工作任务或事业发展目标而发生的项目支出相关工作。</w:t>
      </w:r>
      <w:r>
        <w:rPr>
          <w:rFonts w:hint="eastAsia" w:ascii="仿宋" w:hAnsi="仿宋" w:eastAsia="仿宋" w:cs="仿宋"/>
          <w:bCs/>
          <w:color w:val="000000" w:themeColor="text1"/>
          <w:sz w:val="28"/>
          <w:szCs w:val="28"/>
          <w14:textFill>
            <w14:solidFill>
              <w14:schemeClr w14:val="tx1"/>
            </w14:solidFill>
          </w14:textFill>
        </w:rPr>
        <w:t>我镇紧紧围绕“融城桥头堡、新城核心区、宁乡新客厅”这一主线，充分发挥独特区位优势，深入推进实力园区、新型城镇和美丽乡村三大建设，同时伴随境内及周边宁乡高新区、沩东新城、香山国家森林公园等载体单位的诸多项目入驻，使得夏铎铺镇成为了绿色、生态、协同发展的热土。我们坚持以党建引领，以“融入中心、服务大局，抓党建、促发展”的思路开展各项工作。</w:t>
      </w:r>
    </w:p>
    <w:p>
      <w:pPr>
        <w:keepNext w:val="0"/>
        <w:keepLines w:val="0"/>
        <w:pageBreakBefore w:val="0"/>
        <w:kinsoku/>
        <w:wordWrap/>
        <w:overflowPunct/>
        <w:topLinePunct w:val="0"/>
        <w:autoSpaceDE/>
        <w:autoSpaceDN/>
        <w:bidi w:val="0"/>
        <w:adjustRightInd w:val="0"/>
        <w:snapToGrid w:val="0"/>
        <w:spacing w:line="520" w:lineRule="exact"/>
        <w:jc w:val="both"/>
        <w:textAlignment w:val="baseline"/>
        <w:rPr>
          <w:rFonts w:hint="eastAsia" w:ascii="仿宋" w:hAnsi="仿宋" w:eastAsia="仿宋" w:cs="仿宋"/>
          <w:bCs/>
          <w:color w:val="000000"/>
          <w:sz w:val="28"/>
          <w:szCs w:val="28"/>
          <w:lang w:val="en-US" w:eastAsia="zh-CN"/>
        </w:rPr>
      </w:pPr>
      <w:r>
        <w:rPr>
          <w:rFonts w:hint="eastAsia" w:ascii="仿宋" w:hAnsi="仿宋" w:eastAsia="仿宋" w:cs="仿宋"/>
          <w:b/>
          <w:bCs w:val="0"/>
          <w:color w:val="000000"/>
          <w:sz w:val="28"/>
          <w:szCs w:val="28"/>
          <w:lang w:val="en-US" w:eastAsia="zh-CN"/>
        </w:rPr>
        <w:t>1.拓宽“做”的途径，筑牢战斗堡垒。</w:t>
      </w:r>
      <w:r>
        <w:rPr>
          <w:rFonts w:hint="eastAsia" w:ascii="仿宋" w:hAnsi="仿宋" w:eastAsia="仿宋" w:cs="仿宋"/>
          <w:bCs/>
          <w:color w:val="000000"/>
          <w:sz w:val="28"/>
          <w:szCs w:val="28"/>
          <w:lang w:val="en-US" w:eastAsia="zh-CN"/>
        </w:rPr>
        <w:t>广泛开展“百年党史百日学”活动；隆重举行“学党史、颂党恩，喜迎建党百周年”千人表彰大会；建设夏铎铺红色星火馆和石仑关“毛泽东与宁乡”陈列室；常态化推进“四联五到位”民情大走访工作，结合“乡村钉”搭建镇村组交流平台，以数字科技和网格释能助力乡村振兴，全年下沉走访41轮，解决急难愁盼问题603个；持续开展“火把行动”，5000余名志愿者全年累计在多个领域开展活动104次；推进支部“五化”提质，4个村（社区）获评“五星”党组织，凤桥社区被评为长沙市先进基层党组织；镇工会获评长沙市“小三级”工会规范化建设示范单位、长沙市职工书屋示范点、宁乡市模范职工之家；天马新村团支部获评宁乡市五四红旗团支部；镇妇联获宁乡市妇联先进单位；香山新村离退休支部成功申报长沙市示范化“五化”支部、长沙市“百岁健康村”，获评长沙市老年网络教育示范点。</w:t>
      </w:r>
    </w:p>
    <w:p>
      <w:pPr>
        <w:keepNext w:val="0"/>
        <w:keepLines w:val="0"/>
        <w:pageBreakBefore w:val="0"/>
        <w:kinsoku/>
        <w:wordWrap/>
        <w:overflowPunct/>
        <w:topLinePunct w:val="0"/>
        <w:autoSpaceDE/>
        <w:autoSpaceDN/>
        <w:bidi w:val="0"/>
        <w:adjustRightInd w:val="0"/>
        <w:snapToGrid w:val="0"/>
        <w:spacing w:line="520" w:lineRule="exact"/>
        <w:jc w:val="both"/>
        <w:textAlignment w:val="baseline"/>
        <w:rPr>
          <w:rFonts w:hint="eastAsia" w:ascii="仿宋" w:hAnsi="仿宋" w:eastAsia="仿宋" w:cs="仿宋"/>
          <w:bCs/>
          <w:color w:val="000000"/>
          <w:sz w:val="28"/>
          <w:szCs w:val="28"/>
          <w:lang w:val="en-US" w:eastAsia="zh-CN"/>
        </w:rPr>
      </w:pPr>
      <w:r>
        <w:rPr>
          <w:rFonts w:hint="eastAsia" w:ascii="仿宋" w:hAnsi="仿宋" w:eastAsia="仿宋" w:cs="仿宋"/>
          <w:b/>
          <w:bCs w:val="0"/>
          <w:color w:val="000000"/>
          <w:sz w:val="28"/>
          <w:szCs w:val="28"/>
          <w:lang w:val="en-US" w:eastAsia="zh-CN"/>
        </w:rPr>
        <w:t>2.抓住“优”的重点，建强干部队伍。</w:t>
      </w:r>
      <w:r>
        <w:rPr>
          <w:rFonts w:hint="eastAsia" w:ascii="仿宋" w:hAnsi="仿宋" w:eastAsia="仿宋" w:cs="仿宋"/>
          <w:bCs/>
          <w:color w:val="000000"/>
          <w:sz w:val="28"/>
          <w:szCs w:val="28"/>
          <w:lang w:val="en-US" w:eastAsia="zh-CN"/>
        </w:rPr>
        <w:t>圆满完成镇党委、人大、村支“两委”换届；强化机关中层干部管理，实行双向选择、竞聘上岗；严格落实党员冬春训，先后组织各类培训9场1000余人；遴选18名后备干部充实队伍，发展党员38人；抓实22名年轻干部“导师帮带”。</w:t>
      </w:r>
    </w:p>
    <w:p>
      <w:pPr>
        <w:keepNext w:val="0"/>
        <w:keepLines w:val="0"/>
        <w:pageBreakBefore w:val="0"/>
        <w:kinsoku/>
        <w:wordWrap/>
        <w:overflowPunct/>
        <w:topLinePunct w:val="0"/>
        <w:autoSpaceDE/>
        <w:autoSpaceDN/>
        <w:bidi w:val="0"/>
        <w:adjustRightInd w:val="0"/>
        <w:snapToGrid w:val="0"/>
        <w:spacing w:line="520" w:lineRule="exact"/>
        <w:jc w:val="both"/>
        <w:textAlignment w:val="baseline"/>
        <w:rPr>
          <w:rFonts w:hint="eastAsia" w:ascii="仿宋" w:hAnsi="仿宋" w:eastAsia="仿宋" w:cs="仿宋"/>
          <w:b/>
          <w:bCs/>
          <w:sz w:val="28"/>
          <w:szCs w:val="28"/>
          <w:lang w:val="en-US" w:eastAsia="zh-CN"/>
        </w:rPr>
      </w:pPr>
      <w:r>
        <w:rPr>
          <w:rFonts w:hint="eastAsia" w:ascii="仿宋" w:hAnsi="仿宋" w:eastAsia="仿宋" w:cs="仿宋"/>
          <w:b/>
          <w:bCs w:val="0"/>
          <w:color w:val="000000"/>
          <w:sz w:val="28"/>
          <w:szCs w:val="28"/>
          <w:lang w:val="en-US" w:eastAsia="zh-CN"/>
        </w:rPr>
        <w:t>3.加强“清”的力度，深化作风建设。</w:t>
      </w:r>
      <w:r>
        <w:rPr>
          <w:rFonts w:hint="eastAsia" w:ascii="仿宋" w:hAnsi="仿宋" w:eastAsia="仿宋" w:cs="仿宋"/>
          <w:bCs/>
          <w:color w:val="000000"/>
          <w:sz w:val="28"/>
          <w:szCs w:val="28"/>
          <w:lang w:val="en-US" w:eastAsia="zh-CN"/>
        </w:rPr>
        <w:t>在夏铎铺社区先行先试创建清廉村居，获评市级先进示范点，得到省、市领导一致认可；落实党风廉政建设主体责任，强化镇村干部日常监督，排查“四类问题”党员15人，开展各类监督检查18次，处置问题线索90条，有效维护纪律权威。</w:t>
      </w:r>
    </w:p>
    <w:p>
      <w:pPr>
        <w:keepNext w:val="0"/>
        <w:keepLines w:val="0"/>
        <w:pageBreakBefore w:val="0"/>
        <w:kinsoku/>
        <w:wordWrap/>
        <w:overflowPunct/>
        <w:topLinePunct w:val="0"/>
        <w:autoSpaceDE/>
        <w:autoSpaceDN/>
        <w:bidi w:val="0"/>
        <w:adjustRightInd w:val="0"/>
        <w:snapToGrid w:val="0"/>
        <w:spacing w:line="520" w:lineRule="exact"/>
        <w:jc w:val="both"/>
        <w:textAlignment w:val="baseline"/>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4.建设美丽乡村，夯实三农发展基础。</w:t>
      </w:r>
      <w:r>
        <w:rPr>
          <w:rFonts w:hint="eastAsia" w:ascii="仿宋" w:hAnsi="仿宋" w:eastAsia="仿宋" w:cs="仿宋"/>
          <w:b w:val="0"/>
          <w:bCs w:val="0"/>
          <w:sz w:val="28"/>
          <w:szCs w:val="28"/>
          <w:lang w:val="en-US" w:eastAsia="zh-CN"/>
        </w:rPr>
        <w:t>成功申报3个省级乡村振兴示范村，全镇3个美丽屋场均通过验收；抓好粮食生产工作，创建万亩粮食示范片区1个，被评为市级粮食种植先进乡镇；因地制宜开展冬修水利建设，大力推进高标准农田建设，将其与现代农业发展同步推进，持续提升农业基础设施建设水平。</w:t>
      </w:r>
    </w:p>
    <w:p>
      <w:pPr>
        <w:keepNext w:val="0"/>
        <w:keepLines w:val="0"/>
        <w:pageBreakBefore w:val="0"/>
        <w:kinsoku/>
        <w:wordWrap/>
        <w:overflowPunct/>
        <w:topLinePunct w:val="0"/>
        <w:autoSpaceDE/>
        <w:autoSpaceDN/>
        <w:bidi w:val="0"/>
        <w:adjustRightInd w:val="0"/>
        <w:snapToGrid w:val="0"/>
        <w:spacing w:line="520" w:lineRule="exact"/>
        <w:jc w:val="both"/>
        <w:textAlignment w:val="baseline"/>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5.聚焦农民增收，发展村级集体经济。</w:t>
      </w:r>
      <w:r>
        <w:rPr>
          <w:rFonts w:hint="eastAsia" w:ascii="仿宋" w:hAnsi="仿宋" w:eastAsia="仿宋" w:cs="仿宋"/>
          <w:sz w:val="28"/>
          <w:szCs w:val="28"/>
        </w:rPr>
        <w:t>立</w:t>
      </w:r>
      <w:r>
        <w:rPr>
          <w:rFonts w:hint="eastAsia" w:ascii="仿宋" w:hAnsi="仿宋" w:eastAsia="仿宋" w:cs="仿宋"/>
          <w:b w:val="0"/>
          <w:bCs w:val="0"/>
          <w:sz w:val="28"/>
          <w:szCs w:val="28"/>
          <w:lang w:val="en-US" w:eastAsia="zh-CN"/>
        </w:rPr>
        <w:t>足当地资源禀赋,科学选择村级集体经济发展路径，2021年我镇9个村（社区）集体收入近900万元，同比增长10%，其中3个村社区突破百万。</w:t>
      </w:r>
    </w:p>
    <w:p>
      <w:pPr>
        <w:pStyle w:val="11"/>
        <w:widowControl/>
        <w:spacing w:line="435" w:lineRule="atLeast"/>
        <w:ind w:firstLine="555"/>
        <w:jc w:val="both"/>
        <w:rPr>
          <w:rFonts w:hint="eastAsia" w:ascii="仿宋" w:hAnsi="仿宋" w:eastAsia="仿宋" w:cs="仿宋"/>
          <w:sz w:val="28"/>
          <w:szCs w:val="28"/>
        </w:rPr>
      </w:pPr>
      <w:r>
        <w:rPr>
          <w:rStyle w:val="15"/>
          <w:rFonts w:hint="eastAsia" w:ascii="仿宋" w:hAnsi="仿宋" w:eastAsia="仿宋" w:cs="仿宋"/>
          <w:b w:val="0"/>
          <w:sz w:val="28"/>
          <w:szCs w:val="28"/>
        </w:rPr>
        <w:t>（二）效益指标完成情况 </w:t>
      </w:r>
    </w:p>
    <w:p>
      <w:pPr>
        <w:keepNext w:val="0"/>
        <w:keepLines w:val="0"/>
        <w:pageBreakBefore w:val="0"/>
        <w:kinsoku/>
        <w:wordWrap/>
        <w:overflowPunct/>
        <w:topLinePunct w:val="0"/>
        <w:autoSpaceDE/>
        <w:autoSpaceDN/>
        <w:bidi w:val="0"/>
        <w:adjustRightInd w:val="0"/>
        <w:snapToGrid w:val="0"/>
        <w:spacing w:line="520" w:lineRule="exact"/>
        <w:ind w:firstLine="562" w:firstLineChars="200"/>
        <w:jc w:val="both"/>
        <w:textAlignment w:val="baseline"/>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1.综合实力稳步提升。</w:t>
      </w:r>
      <w:r>
        <w:rPr>
          <w:rFonts w:hint="eastAsia" w:ascii="仿宋" w:hAnsi="仿宋" w:eastAsia="仿宋" w:cs="仿宋"/>
          <w:b w:val="0"/>
          <w:bCs w:val="0"/>
          <w:sz w:val="28"/>
          <w:szCs w:val="28"/>
          <w:lang w:val="en-US" w:eastAsia="zh-CN"/>
        </w:rPr>
        <w:t>2021年完成规模工业产值17亿元，引进乡村振兴和文旅项目4个，市场主体发展235户；完成固定投资18.2亿元，社零消费品总额2.34亿元，地方一般公共财政预算收入8499万元，为年度计划的118%，荣膺全国千强乡镇第600名。</w:t>
      </w:r>
    </w:p>
    <w:p>
      <w:pPr>
        <w:keepNext w:val="0"/>
        <w:keepLines w:val="0"/>
        <w:pageBreakBefore w:val="0"/>
        <w:kinsoku/>
        <w:wordWrap/>
        <w:overflowPunct/>
        <w:topLinePunct w:val="0"/>
        <w:autoSpaceDE/>
        <w:autoSpaceDN/>
        <w:bidi w:val="0"/>
        <w:adjustRightInd w:val="0"/>
        <w:snapToGrid w:val="0"/>
        <w:spacing w:line="520" w:lineRule="exact"/>
        <w:ind w:firstLine="562" w:firstLineChars="200"/>
        <w:jc w:val="both"/>
        <w:textAlignment w:val="baseline"/>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2.项目服务质效并进。</w:t>
      </w:r>
      <w:r>
        <w:rPr>
          <w:rFonts w:hint="eastAsia" w:ascii="仿宋" w:hAnsi="仿宋" w:eastAsia="仿宋" w:cs="仿宋"/>
          <w:b w:val="0"/>
          <w:bCs w:val="0"/>
          <w:sz w:val="28"/>
          <w:szCs w:val="28"/>
          <w:lang w:val="en-US" w:eastAsia="zh-CN"/>
        </w:rPr>
        <w:t>2021年完成房屋拆迁150余户，新征地400余亩，腾地1100余亩；完成500kV变电站及配套设施的交地、建设、补偿登记工作；积极做好金唐公路、幼儿师专、时代阳光及绿叶水果等项目的服务工作。全年共协调解决相关矛盾诉求百余起，不断健全服务机制，力求展现夏铎担当。</w:t>
      </w:r>
    </w:p>
    <w:p>
      <w:pPr>
        <w:keepNext w:val="0"/>
        <w:keepLines w:val="0"/>
        <w:pageBreakBefore w:val="0"/>
        <w:kinsoku/>
        <w:wordWrap/>
        <w:overflowPunct/>
        <w:topLinePunct w:val="0"/>
        <w:autoSpaceDE/>
        <w:autoSpaceDN/>
        <w:bidi w:val="0"/>
        <w:adjustRightInd w:val="0"/>
        <w:snapToGrid w:val="0"/>
        <w:spacing w:line="520" w:lineRule="exact"/>
        <w:ind w:firstLine="562" w:firstLineChars="200"/>
        <w:jc w:val="both"/>
        <w:textAlignment w:val="baseline"/>
        <w:rPr>
          <w:rFonts w:hint="default" w:ascii="Times New Roman" w:hAnsi="Times New Roman" w:eastAsia="仿宋_GB2312" w:cs="Times New Roman"/>
          <w:b w:val="0"/>
          <w:bCs w:val="0"/>
          <w:sz w:val="32"/>
          <w:szCs w:val="32"/>
          <w:lang w:val="en-US" w:eastAsia="zh-CN"/>
        </w:rPr>
      </w:pPr>
      <w:r>
        <w:rPr>
          <w:rFonts w:hint="eastAsia" w:ascii="仿宋" w:hAnsi="仿宋" w:eastAsia="仿宋" w:cs="仿宋"/>
          <w:b/>
          <w:bCs w:val="0"/>
          <w:color w:val="000000"/>
          <w:sz w:val="28"/>
          <w:szCs w:val="28"/>
          <w:lang w:val="en-US" w:eastAsia="zh-CN"/>
        </w:rPr>
        <w:t>3.产业转型扎实推进。</w:t>
      </w:r>
      <w:r>
        <w:rPr>
          <w:rFonts w:hint="eastAsia" w:ascii="仿宋" w:hAnsi="仿宋" w:eastAsia="仿宋" w:cs="仿宋"/>
          <w:b w:val="0"/>
          <w:bCs w:val="0"/>
          <w:sz w:val="28"/>
          <w:szCs w:val="28"/>
          <w:lang w:val="en-US" w:eastAsia="zh-CN"/>
        </w:rPr>
        <w:t>南方水泥投入5000万元，通过技术改造促进产业升级，最终达到国际领先标准，年税收达6100万元；天马混凝土增加生产线2条，对现有产能提升50%，同时加大环保投入，提升污水及废料处理水平，年税收达2300万元；忘不了服饰向服饰时尚集团进军，实行产销分离，开启忘不了产品新零售模式，实行线上线下联动销售，年税收近1200万元。</w:t>
      </w:r>
    </w:p>
    <w:p>
      <w:pPr>
        <w:pStyle w:val="11"/>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我</w:t>
      </w:r>
      <w:r>
        <w:rPr>
          <w:rFonts w:ascii="仿宋" w:hAnsi="仿宋" w:eastAsia="仿宋" w:cs="仿宋_GB2312"/>
          <w:sz w:val="28"/>
          <w:szCs w:val="28"/>
        </w:rPr>
        <w:t>镇</w:t>
      </w:r>
      <w:r>
        <w:rPr>
          <w:rFonts w:hint="default" w:ascii="仿宋" w:hAnsi="仿宋" w:eastAsia="仿宋" w:cs="仿宋_GB2312"/>
          <w:sz w:val="28"/>
          <w:szCs w:val="28"/>
        </w:rPr>
        <w:t>严格执行预算法，科学精细编制预算，重视预算编制基础工作，注重绩效管理，重点关注支出预算执行和政策目标落实情况，完善预算执行管理考核制度。规范财务流程，加强资金使用信息公开和公示制度建设，加强资金监管制度建设和执行，切实防范廉政风险，所有开支均按照财务管理制度执行，资金的使用严格把关，机关的日常工作运行得到保障。 </w:t>
      </w:r>
    </w:p>
    <w:p>
      <w:pPr>
        <w:pStyle w:val="11"/>
        <w:widowControl/>
        <w:spacing w:line="435" w:lineRule="atLeast"/>
        <w:ind w:firstLine="555"/>
        <w:jc w:val="both"/>
        <w:rPr>
          <w:rStyle w:val="15"/>
          <w:rFonts w:hint="default" w:ascii="仿宋" w:hAnsi="仿宋" w:eastAsia="仿宋" w:cs="楷体_GB2312"/>
          <w:b w:val="0"/>
          <w:sz w:val="28"/>
          <w:szCs w:val="28"/>
        </w:rPr>
      </w:pPr>
      <w:r>
        <w:rPr>
          <w:rStyle w:val="15"/>
          <w:rFonts w:hint="default" w:ascii="仿宋" w:hAnsi="仿宋" w:eastAsia="仿宋" w:cs="楷体_GB2312"/>
          <w:b w:val="0"/>
          <w:sz w:val="28"/>
          <w:szCs w:val="28"/>
        </w:rPr>
        <w:t>（三）满意度指标完成情况 </w:t>
      </w:r>
    </w:p>
    <w:p>
      <w:pPr>
        <w:adjustRightInd w:val="0"/>
        <w:snapToGrid w:val="0"/>
        <w:spacing w:line="560" w:lineRule="exact"/>
        <w:ind w:firstLine="560" w:firstLineChars="200"/>
        <w:textAlignment w:val="baseline"/>
        <w:rPr>
          <w:rFonts w:hint="eastAsia" w:ascii="仿宋" w:hAnsi="仿宋" w:eastAsia="仿宋" w:cs="仿宋"/>
          <w:b w:val="0"/>
          <w:bCs w:val="0"/>
          <w:sz w:val="28"/>
          <w:szCs w:val="28"/>
          <w:lang w:val="en-US" w:eastAsia="zh-CN"/>
        </w:rPr>
      </w:pPr>
      <w:r>
        <w:rPr>
          <w:rFonts w:ascii="仿宋" w:hAnsi="仿宋" w:eastAsia="仿宋" w:cs="Times New Roman"/>
          <w:sz w:val="28"/>
          <w:szCs w:val="28"/>
        </w:rPr>
        <w:t>202</w:t>
      </w:r>
      <w:r>
        <w:rPr>
          <w:rFonts w:hint="eastAsia" w:ascii="仿宋" w:hAnsi="仿宋" w:eastAsia="仿宋" w:cs="Times New Roman"/>
          <w:sz w:val="28"/>
          <w:szCs w:val="28"/>
          <w:lang w:val="en-US" w:eastAsia="zh-CN"/>
        </w:rPr>
        <w:t>1</w:t>
      </w:r>
      <w:r>
        <w:rPr>
          <w:rFonts w:ascii="仿宋" w:hAnsi="仿宋" w:eastAsia="仿宋" w:cs="仿宋_GB2312"/>
          <w:sz w:val="28"/>
          <w:szCs w:val="28"/>
        </w:rPr>
        <w:t>年我镇较好的完成了绩效目标任务，日常管理工作均按照我单位相关管理制度执行，建立了工作有计划、实施有方案、日常有监督的管理机制，工作取得了较好的成效，效能得到了提高、获得了社会公众的好评。全面贯彻落实以人民为中心思想，把群众关切的衣食住行、安居乐业等民生事项一件一件放在心上、落在实处，全面提升居民群众生活品质。</w:t>
      </w:r>
      <w:r>
        <w:rPr>
          <w:rFonts w:hint="eastAsia" w:ascii="仿宋" w:hAnsi="仿宋" w:eastAsia="仿宋" w:cs="仿宋"/>
          <w:b w:val="0"/>
          <w:bCs/>
          <w:color w:val="000000"/>
          <w:sz w:val="28"/>
          <w:szCs w:val="28"/>
          <w:lang w:val="en-US" w:eastAsia="zh-CN"/>
        </w:rPr>
        <w:t>巩固脱贫成果，健全返贫监测机制。</w:t>
      </w:r>
      <w:r>
        <w:rPr>
          <w:rFonts w:hint="eastAsia" w:ascii="仿宋" w:hAnsi="仿宋" w:eastAsia="仿宋" w:cs="仿宋"/>
          <w:b w:val="0"/>
          <w:bCs w:val="0"/>
          <w:sz w:val="28"/>
          <w:szCs w:val="28"/>
          <w:lang w:val="en-US" w:eastAsia="zh-CN"/>
        </w:rPr>
        <w:t>将防返贫监测与镇网格化管理工作相结合，实现动态监测全覆盖；2021年针对性帮扶全镇25户困难户，完成金融扶贫借贷续贷35户132万元，贴息108户；设置公益性岗位41个，为困难群众购买2022年农合医56人次，安排脱贫务工岗位26人次。</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2"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1.民生实事做“好”。</w:t>
      </w:r>
      <w:r>
        <w:rPr>
          <w:rFonts w:hint="eastAsia" w:ascii="仿宋" w:hAnsi="仿宋" w:eastAsia="仿宋" w:cs="仿宋"/>
          <w:b w:val="0"/>
          <w:bCs w:val="0"/>
          <w:sz w:val="28"/>
          <w:szCs w:val="28"/>
          <w:lang w:val="en-US" w:eastAsia="zh-CN"/>
        </w:rPr>
        <w:t>落实“六包一”“十个一”管控措施，新冠防疫工作常态化推进；2021年，城乡低保累计发放187万余元，特困293万余元；全年累计发放惠农补贴1980余万元；举办技能培训15期共699人次，开展招聘会3场，达成就业意向130人次，有效促进失业人员再就业。</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2"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2.民生项目做“优”。</w:t>
      </w:r>
      <w:r>
        <w:rPr>
          <w:rFonts w:hint="eastAsia" w:ascii="仿宋" w:hAnsi="仿宋" w:eastAsia="仿宋" w:cs="仿宋"/>
          <w:b w:val="0"/>
          <w:bCs w:val="0"/>
          <w:sz w:val="28"/>
          <w:szCs w:val="28"/>
          <w:lang w:val="en-US" w:eastAsia="zh-CN"/>
        </w:rPr>
        <w:t>投资3000万元新建公卫楼、设立省内首家消化专科医院并投入使用，探索乡镇卫生院专科化发展路径；投入1500万元高标准建设夏铎铺中心幼儿园，为保障城乡教育公平增添合力；推动压缩式垃圾站项目投入使用，搞好农村垃圾治理，有效提高居民生活质量。</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2"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3.民心工程做“实”。</w:t>
      </w:r>
      <w:r>
        <w:rPr>
          <w:rFonts w:hint="eastAsia" w:ascii="仿宋" w:hAnsi="仿宋" w:eastAsia="仿宋" w:cs="仿宋"/>
          <w:b w:val="0"/>
          <w:bCs w:val="0"/>
          <w:sz w:val="28"/>
          <w:szCs w:val="28"/>
          <w:lang w:val="en-US" w:eastAsia="zh-CN"/>
        </w:rPr>
        <w:t>探索推开“一四五”工作机制，“一二三”走访办法，构建解决问题“四级闭环”，结合“乡村钉”，开设“你钉我办”走访问题反馈、问题交办、钉钉直播等专栏，2021年摸排困难清单428个，诉求清单133个，帮助31户实现“微心愿”；动员群众使用“一件事一次办”微信小程序，及时办理群众服务事项。</w:t>
      </w:r>
    </w:p>
    <w:p>
      <w:pPr>
        <w:adjustRightInd w:val="0"/>
        <w:snapToGrid w:val="0"/>
        <w:spacing w:line="560" w:lineRule="exact"/>
        <w:ind w:firstLine="560" w:firstLineChars="200"/>
        <w:textAlignment w:val="baseline"/>
        <w:rPr>
          <w:rFonts w:hint="eastAsia" w:ascii="仿宋" w:hAnsi="仿宋" w:eastAsia="仿宋" w:cs="仿宋"/>
          <w:b w:val="0"/>
          <w:bCs w:val="0"/>
          <w:sz w:val="28"/>
          <w:szCs w:val="28"/>
          <w:lang w:val="en-US" w:eastAsia="zh-CN"/>
        </w:rPr>
      </w:pPr>
      <w:r>
        <w:rPr>
          <w:rFonts w:hint="eastAsia" w:ascii="仿宋" w:hAnsi="仿宋" w:eastAsia="仿宋" w:cs="仿宋"/>
          <w:bCs/>
          <w:color w:val="000000" w:themeColor="text1"/>
          <w:kern w:val="0"/>
          <w:sz w:val="28"/>
          <w:szCs w:val="28"/>
          <w:lang w:val="en-US" w:eastAsia="zh-CN"/>
          <w14:textFill>
            <w14:solidFill>
              <w14:schemeClr w14:val="tx1"/>
            </w14:solidFill>
          </w14:textFill>
        </w:rPr>
        <w:t>4、</w:t>
      </w:r>
      <w:r>
        <w:rPr>
          <w:rFonts w:hint="eastAsia" w:ascii="仿宋" w:hAnsi="仿宋" w:eastAsia="仿宋" w:cs="仿宋"/>
          <w:b/>
          <w:bCs w:val="0"/>
          <w:color w:val="000000"/>
          <w:sz w:val="28"/>
          <w:szCs w:val="28"/>
          <w:lang w:val="en-US" w:eastAsia="zh-CN"/>
        </w:rPr>
        <w:t>多措并举，推进平安创建。</w:t>
      </w:r>
      <w:r>
        <w:rPr>
          <w:rFonts w:hint="eastAsia" w:ascii="仿宋" w:hAnsi="仿宋" w:eastAsia="仿宋" w:cs="仿宋"/>
          <w:b w:val="0"/>
          <w:bCs w:val="0"/>
          <w:sz w:val="28"/>
          <w:szCs w:val="28"/>
          <w:lang w:val="en-US" w:eastAsia="zh-CN"/>
        </w:rPr>
        <w:t>制定扫黑除恶方案，打击非法集资，完成综治中心、警务室建设及“三位一体”、“三级塔群”工作建设，提升综治工作软实力。综治民调满意率上升至92.14%，为长沙市一类单位，被评为长沙市信访“三无”乡镇。</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2"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val="0"/>
          <w:color w:val="000000"/>
          <w:sz w:val="28"/>
          <w:szCs w:val="28"/>
          <w:lang w:val="en-US" w:eastAsia="zh-CN"/>
        </w:rPr>
        <w:t>5.齐抓共管，开展专项行动。</w:t>
      </w:r>
      <w:r>
        <w:rPr>
          <w:rFonts w:hint="eastAsia" w:ascii="仿宋" w:hAnsi="仿宋" w:eastAsia="仿宋" w:cs="仿宋"/>
          <w:b w:val="0"/>
          <w:bCs w:val="0"/>
          <w:sz w:val="28"/>
          <w:szCs w:val="28"/>
          <w:lang w:val="en-US" w:eastAsia="zh-CN"/>
        </w:rPr>
        <w:t>压实企业主体责任，组织开展安全生产专项整治三年行动、岁末年初百日大会战等专项行动，共排查隐患182处，整改到位167处；投入350万元改善道路安全隐患，开展整治行动137次，发放倡议书10512份，111个网格召开屋场会议418场次，党政领导带队不定时间、地点，开展联合执法。</w:t>
      </w:r>
    </w:p>
    <w:p>
      <w:pPr>
        <w:adjustRightInd w:val="0"/>
        <w:snapToGrid w:val="0"/>
        <w:spacing w:line="560" w:lineRule="exact"/>
        <w:ind w:firstLine="562" w:firstLineChars="200"/>
        <w:textAlignment w:val="baseline"/>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val="0"/>
          <w:color w:val="000000"/>
          <w:sz w:val="28"/>
          <w:szCs w:val="28"/>
          <w:lang w:val="en-US" w:eastAsia="zh-CN"/>
        </w:rPr>
        <w:t>6.标本兼治，提升镇域面貌。</w:t>
      </w:r>
      <w:r>
        <w:rPr>
          <w:rFonts w:hint="eastAsia" w:ascii="仿宋" w:hAnsi="仿宋" w:eastAsia="仿宋" w:cs="仿宋"/>
          <w:b w:val="0"/>
          <w:bCs w:val="0"/>
          <w:sz w:val="28"/>
          <w:szCs w:val="28"/>
          <w:lang w:val="en-US" w:eastAsia="zh-CN"/>
        </w:rPr>
        <w:t>加强路边摊贩设点、车辆停放管控；拆除环湖路占用公共面积的违建建筑物和构筑物40多处，拆除违法建筑物32处。立案处罚各类违法行为56宗，打造文明停车示范街2条。</w:t>
      </w:r>
    </w:p>
    <w:p>
      <w:pPr>
        <w:adjustRightInd w:val="0"/>
        <w:snapToGrid w:val="0"/>
        <w:spacing w:line="560" w:lineRule="exact"/>
        <w:ind w:firstLine="560" w:firstLineChars="200"/>
        <w:textAlignment w:val="baseline"/>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我们始终坚持民生为本，始终坚持发展成果惠及群众、造福群众、反馈人民，人民群众享有了更好的社会保障。</w:t>
      </w:r>
      <w:r>
        <w:rPr>
          <w:rFonts w:hint="eastAsia" w:ascii="仿宋" w:hAnsi="仿宋" w:eastAsia="仿宋" w:cs="仿宋"/>
          <w:sz w:val="28"/>
          <w:szCs w:val="28"/>
        </w:rPr>
        <w:t>群众满意度指标和可持续性指标均达标。</w:t>
      </w:r>
    </w:p>
    <w:p>
      <w:pPr>
        <w:pStyle w:val="11"/>
        <w:widowControl/>
        <w:spacing w:line="435" w:lineRule="atLeast"/>
        <w:ind w:firstLine="555"/>
        <w:rPr>
          <w:rFonts w:hint="default" w:ascii="仿宋" w:hAnsi="仿宋" w:eastAsia="仿宋" w:cs="黑体"/>
          <w:sz w:val="28"/>
          <w:szCs w:val="28"/>
        </w:rPr>
      </w:pPr>
      <w:r>
        <w:rPr>
          <w:rFonts w:ascii="仿宋" w:hAnsi="仿宋" w:eastAsia="仿宋" w:cs="黑体"/>
          <w:sz w:val="28"/>
          <w:szCs w:val="28"/>
        </w:rPr>
        <w:t>六、存在的主要问题</w:t>
      </w:r>
    </w:p>
    <w:p>
      <w:pPr>
        <w:pStyle w:val="35"/>
        <w:adjustRightInd w:val="0"/>
        <w:spacing w:line="560" w:lineRule="exact"/>
        <w:ind w:firstLine="536"/>
        <w:jc w:val="both"/>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在肯定成绩的同时，我们也清醒地认识到，夏铎铺经济社会发展还存在不少问题和挑战。</w:t>
      </w:r>
      <w:r>
        <w:rPr>
          <w:rFonts w:hint="eastAsia" w:ascii="仿宋" w:hAnsi="仿宋" w:eastAsia="仿宋" w:cs="仿宋_GB2312"/>
          <w:color w:val="000000" w:themeColor="text1"/>
          <w:sz w:val="28"/>
          <w:szCs w:val="28"/>
          <w14:textFill>
            <w14:solidFill>
              <w14:schemeClr w14:val="tx1"/>
            </w14:solidFill>
          </w14:textFill>
        </w:rPr>
        <w:t>全</w:t>
      </w:r>
      <w:r>
        <w:rPr>
          <w:rFonts w:ascii="仿宋" w:hAnsi="仿宋" w:eastAsia="仿宋" w:cs="仿宋_GB2312"/>
          <w:color w:val="000000" w:themeColor="text1"/>
          <w:sz w:val="28"/>
          <w:szCs w:val="28"/>
          <w14:textFill>
            <w14:solidFill>
              <w14:schemeClr w14:val="tx1"/>
            </w14:solidFill>
          </w14:textFill>
        </w:rPr>
        <w:t>球新冠肺炎疫情的持续蔓延及经济下行压力较大，财税征收压力巨大，产业结构有待进一步转型；前期发展带来的征拆、环保遗留问题还有不少；高新技术项目较少，品牌项目影响力小，高层次人才匮乏，自主创新能力有待加强；</w:t>
      </w:r>
      <w:r>
        <w:rPr>
          <w:rFonts w:ascii="仿宋" w:hAnsi="仿宋" w:eastAsia="仿宋" w:cs="仿宋_GB2312"/>
          <w:color w:val="000000" w:themeColor="text1"/>
          <w:spacing w:val="6"/>
          <w:sz w:val="28"/>
          <w:szCs w:val="28"/>
          <w14:textFill>
            <w14:solidFill>
              <w14:schemeClr w14:val="tx1"/>
            </w14:solidFill>
          </w14:textFill>
        </w:rPr>
        <w:t>部分</w:t>
      </w:r>
      <w:r>
        <w:rPr>
          <w:rFonts w:ascii="仿宋" w:hAnsi="仿宋" w:eastAsia="仿宋" w:cs="仿宋_GB2312"/>
          <w:color w:val="000000" w:themeColor="text1"/>
          <w:sz w:val="28"/>
          <w:szCs w:val="28"/>
          <w14:textFill>
            <w14:solidFill>
              <w14:schemeClr w14:val="tx1"/>
            </w14:solidFill>
          </w14:textFill>
        </w:rPr>
        <w:t>党员干部还存在“守摊子”理念，工作作风有待进一步改进</w:t>
      </w:r>
      <w:r>
        <w:rPr>
          <w:rFonts w:ascii="仿宋" w:hAnsi="仿宋" w:eastAsia="仿宋" w:cs="仿宋_GB2312"/>
          <w:color w:val="000000" w:themeColor="text1"/>
          <w:spacing w:val="6"/>
          <w:sz w:val="28"/>
          <w:szCs w:val="28"/>
          <w14:textFill>
            <w14:solidFill>
              <w14:schemeClr w14:val="tx1"/>
            </w14:solidFill>
          </w14:textFill>
        </w:rPr>
        <w:t>。</w:t>
      </w:r>
      <w:r>
        <w:rPr>
          <w:rFonts w:ascii="仿宋" w:hAnsi="仿宋" w:eastAsia="仿宋" w:cs="仿宋_GB2312"/>
          <w:color w:val="000000" w:themeColor="text1"/>
          <w:sz w:val="28"/>
          <w:szCs w:val="28"/>
          <w14:textFill>
            <w14:solidFill>
              <w14:schemeClr w14:val="tx1"/>
            </w14:solidFill>
          </w14:textFill>
        </w:rPr>
        <w:t>对此，我们必须正视困难问题，采取更加扎实有效的措施加以解决。</w:t>
      </w:r>
    </w:p>
    <w:p>
      <w:pPr>
        <w:pStyle w:val="35"/>
        <w:adjustRightInd w:val="0"/>
        <w:spacing w:line="560" w:lineRule="exact"/>
        <w:ind w:firstLine="536"/>
        <w:jc w:val="both"/>
        <w:rPr>
          <w:rFonts w:ascii="仿宋" w:hAnsi="仿宋" w:cs="黑体"/>
          <w:color w:val="000000" w:themeColor="text1"/>
          <w:spacing w:val="-6"/>
          <w:sz w:val="28"/>
          <w:szCs w:val="28"/>
          <w14:textFill>
            <w14:solidFill>
              <w14:schemeClr w14:val="tx1"/>
            </w14:solidFill>
          </w14:textFill>
        </w:rPr>
      </w:pPr>
      <w:r>
        <w:rPr>
          <w:rFonts w:hint="eastAsia" w:ascii="仿宋" w:hAnsi="仿宋" w:cs="仿宋_GB2312"/>
          <w:color w:val="000000" w:themeColor="text1"/>
          <w:sz w:val="28"/>
          <w:szCs w:val="28"/>
          <w:lang w:eastAsia="zh-CN"/>
          <w14:textFill>
            <w14:solidFill>
              <w14:schemeClr w14:val="tx1"/>
            </w14:solidFill>
          </w14:textFill>
        </w:rPr>
        <w:t>七</w:t>
      </w:r>
      <w:r>
        <w:rPr>
          <w:rStyle w:val="23"/>
          <w:rFonts w:hint="eastAsia" w:ascii="仿宋" w:hAnsi="仿宋" w:eastAsia="仿宋" w:cs="仿宋"/>
          <w:color w:val="auto"/>
          <w:sz w:val="28"/>
          <w:szCs w:val="28"/>
          <w:lang w:eastAsia="zh-CN"/>
        </w:rPr>
        <w:t>、</w:t>
      </w:r>
      <w:r>
        <w:rPr>
          <w:rFonts w:hint="eastAsia" w:ascii="仿宋" w:hAnsi="仿宋" w:cs="黑体"/>
          <w:color w:val="000000" w:themeColor="text1"/>
          <w:spacing w:val="-6"/>
          <w:sz w:val="28"/>
          <w:szCs w:val="28"/>
          <w14:textFill>
            <w14:solidFill>
              <w14:schemeClr w14:val="tx1"/>
            </w14:solidFill>
          </w14:textFill>
        </w:rPr>
        <w:t>乘风破浪开新局，凝心聚力谱写夏铎高质量发展新篇章</w:t>
      </w:r>
    </w:p>
    <w:p>
      <w:pPr>
        <w:adjustRightInd w:val="0"/>
        <w:snapToGrid w:val="0"/>
        <w:spacing w:line="560" w:lineRule="exact"/>
        <w:ind w:firstLine="560" w:firstLineChars="200"/>
        <w:rPr>
          <w:rStyle w:val="36"/>
          <w:rFonts w:hint="default" w:ascii="仿宋" w:hAnsi="仿宋" w:eastAsia="仿宋" w:cs="仿宋_GB2312"/>
          <w:sz w:val="28"/>
          <w:szCs w:val="28"/>
        </w:rPr>
      </w:pPr>
      <w:r>
        <w:rPr>
          <w:rStyle w:val="36"/>
          <w:rFonts w:hint="eastAsia" w:ascii="仿宋" w:hAnsi="仿宋" w:eastAsia="仿宋" w:cs="仿宋_GB2312"/>
          <w:color w:val="000000" w:themeColor="text1"/>
          <w:sz w:val="28"/>
          <w:szCs w:val="28"/>
          <w:lang w:val="en-US"/>
          <w14:textFill>
            <w14:solidFill>
              <w14:schemeClr w14:val="tx1"/>
            </w14:solidFill>
          </w14:textFill>
        </w:rPr>
        <w:t>2022</w:t>
      </w:r>
      <w:r>
        <w:rPr>
          <w:rStyle w:val="36"/>
          <w:rFonts w:hint="default" w:ascii="仿宋" w:hAnsi="仿宋" w:eastAsia="仿宋" w:cs="仿宋_GB2312"/>
          <w:color w:val="000000" w:themeColor="text1"/>
          <w:sz w:val="28"/>
          <w:szCs w:val="28"/>
          <w14:textFill>
            <w14:solidFill>
              <w14:schemeClr w14:val="tx1"/>
            </w14:solidFill>
          </w14:textFill>
        </w:rPr>
        <w:t>，我镇将坚持以习近平新时代中国特色社会主义思想为指导，在深入实施“三高四新”战略部署中，紧紧围绕宁乡市委、市政府坚持“一江两岸、东进融城”发展主轴，以更具前瞻的眼光、更具担当的态度、更具活力的干劲，进一步凝聚发展共识，奏响新一轮振兴发展的乐章。</w:t>
      </w:r>
    </w:p>
    <w:p>
      <w:pPr>
        <w:adjustRightInd w:val="0"/>
        <w:snapToGrid w:val="0"/>
        <w:spacing w:line="560" w:lineRule="exact"/>
        <w:ind w:firstLine="560" w:firstLineChars="200"/>
        <w:rPr>
          <w:rFonts w:ascii="仿宋" w:hAnsi="仿宋" w:eastAsia="仿宋" w:cs="楷体"/>
          <w:sz w:val="28"/>
          <w:szCs w:val="28"/>
        </w:rPr>
      </w:pPr>
      <w:r>
        <w:rPr>
          <w:rFonts w:hint="eastAsia" w:ascii="仿宋" w:hAnsi="仿宋" w:eastAsia="仿宋" w:cs="楷体"/>
          <w:color w:val="000000" w:themeColor="text1"/>
          <w:sz w:val="28"/>
          <w:szCs w:val="28"/>
          <w14:textFill>
            <w14:solidFill>
              <w14:schemeClr w14:val="tx1"/>
            </w14:solidFill>
          </w14:textFill>
        </w:rPr>
        <w:t>（一）坚持以党建引领、“四联五到位”民情大走访、平安建设为重点，不断实现社会治理创新，建设和谐夏铎。</w:t>
      </w:r>
    </w:p>
    <w:p>
      <w:pPr>
        <w:adjustRightInd w:val="0"/>
        <w:snapToGrid w:val="0"/>
        <w:spacing w:line="560" w:lineRule="exact"/>
        <w:ind w:firstLine="560" w:firstLineChars="200"/>
        <w:rPr>
          <w:rFonts w:ascii="仿宋" w:hAnsi="仿宋" w:eastAsia="仿宋" w:cs="仿宋"/>
          <w:color w:val="000000" w:themeColor="text1"/>
          <w:sz w:val="28"/>
          <w:szCs w:val="28"/>
          <w14:textFill>
            <w14:solidFill>
              <w14:schemeClr w14:val="tx1"/>
            </w14:solidFill>
          </w14:textFill>
        </w:rPr>
      </w:pPr>
      <w:r>
        <w:rPr>
          <w:rStyle w:val="36"/>
          <w:rFonts w:hint="default" w:ascii="仿宋" w:hAnsi="仿宋" w:eastAsia="仿宋" w:cs="仿宋_GB2312"/>
          <w:color w:val="000000" w:themeColor="text1"/>
          <w:sz w:val="28"/>
          <w:szCs w:val="28"/>
          <w14:textFill>
            <w14:solidFill>
              <w14:schemeClr w14:val="tx1"/>
            </w14:solidFill>
          </w14:textFill>
        </w:rPr>
        <w:t>将旗帜鲜明讲政治摆在首位，持续强化政治领导力、群众组织力和社会号召力，充分发挥党统一领导、总揽全局、协调各方的核心作用。践行以人民为中心的发展思想，不断提高基层社会治理现代化、法治化、专业化水平，加快形成共建共治共享的基层社会治理新格局</w:t>
      </w:r>
      <w:r>
        <w:rPr>
          <w:rFonts w:hint="eastAsia" w:ascii="仿宋" w:hAnsi="仿宋" w:eastAsia="仿宋" w:cs="仿宋"/>
          <w:color w:val="000000" w:themeColor="text1"/>
          <w:sz w:val="28"/>
          <w:szCs w:val="28"/>
          <w14:textFill>
            <w14:solidFill>
              <w14:schemeClr w14:val="tx1"/>
            </w14:solidFill>
          </w14:textFill>
        </w:rPr>
        <w:t>。</w:t>
      </w:r>
    </w:p>
    <w:p>
      <w:pPr>
        <w:adjustRightInd w:val="0"/>
        <w:snapToGrid w:val="0"/>
        <w:spacing w:line="560" w:lineRule="exact"/>
        <w:ind w:firstLine="560" w:firstLineChars="200"/>
        <w:rPr>
          <w:rStyle w:val="36"/>
          <w:rFonts w:hint="default" w:ascii="仿宋" w:hAnsi="仿宋" w:eastAsia="仿宋" w:cs="仿宋_GB2312"/>
          <w:sz w:val="28"/>
          <w:szCs w:val="28"/>
        </w:rPr>
      </w:pPr>
      <w:r>
        <w:rPr>
          <w:rFonts w:ascii="仿宋" w:hAnsi="仿宋" w:eastAsia="仿宋" w:cs="仿宋_GB2312"/>
          <w:bCs/>
          <w:color w:val="000000" w:themeColor="text1"/>
          <w:kern w:val="0"/>
          <w:sz w:val="28"/>
          <w:szCs w:val="28"/>
          <w14:textFill>
            <w14:solidFill>
              <w14:schemeClr w14:val="tx1"/>
            </w14:solidFill>
          </w14:textFill>
        </w:rPr>
        <w:t>一是夯实基层战斗堡垒。</w:t>
      </w:r>
      <w:r>
        <w:rPr>
          <w:rStyle w:val="36"/>
          <w:rFonts w:hint="default" w:ascii="仿宋" w:hAnsi="仿宋" w:eastAsia="仿宋" w:cs="仿宋_GB2312"/>
          <w:color w:val="000000" w:themeColor="text1"/>
          <w:sz w:val="28"/>
          <w:szCs w:val="28"/>
          <w14:textFill>
            <w14:solidFill>
              <w14:schemeClr w14:val="tx1"/>
            </w14:solidFill>
          </w14:textFill>
        </w:rPr>
        <w:t>以党史学习教育为契机，抓实党组织“五化”建设和“三零”村（社区）创建，并将意识形态与中心工作同安排同部署，明确村（社区）总支书记为第一责任人，围绕“学史明理”“学史增信”“学史崇德”“学史力行”四个专题，扎实开展“三会一课”、主题党日、党员冬春训等工作。进一步规范党员发展和不合格党员处置，严把党员政治关、标准关和入口关；进一步细化机关、部门单位党组织管理，优化“两新”党组织班子配备和业务指导；全力保障工会、共青团、妇联、老干、关协、残联等群团组织工作。</w:t>
      </w:r>
    </w:p>
    <w:p>
      <w:pPr>
        <w:adjustRightInd w:val="0"/>
        <w:snapToGrid w:val="0"/>
        <w:spacing w:line="560" w:lineRule="exact"/>
        <w:ind w:firstLine="560" w:firstLineChars="200"/>
        <w:rPr>
          <w:rStyle w:val="36"/>
          <w:rFonts w:hint="default"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二是扎实开展“四联五到位”工作。</w:t>
      </w:r>
      <w:r>
        <w:rPr>
          <w:rStyle w:val="36"/>
          <w:rFonts w:hint="default" w:ascii="仿宋" w:hAnsi="仿宋" w:eastAsia="仿宋" w:cs="仿宋_GB2312"/>
          <w:color w:val="000000" w:themeColor="text1"/>
          <w:sz w:val="28"/>
          <w:szCs w:val="28"/>
          <w14:textFill>
            <w14:solidFill>
              <w14:schemeClr w14:val="tx1"/>
            </w14:solidFill>
          </w14:textFill>
        </w:rPr>
        <w:t>启用“乡村钉”数字乡村，接入村民移动互联网生活“最后一公里</w:t>
      </w:r>
      <w:r>
        <w:rPr>
          <w:rStyle w:val="36"/>
          <w:rFonts w:hint="eastAsia" w:ascii="仿宋" w:hAnsi="仿宋" w:eastAsia="仿宋" w:cs="仿宋_GB2312"/>
          <w:color w:val="000000" w:themeColor="text1"/>
          <w:sz w:val="28"/>
          <w:szCs w:val="28"/>
          <w14:textFill>
            <w14:solidFill>
              <w14:schemeClr w14:val="tx1"/>
            </w14:solidFill>
          </w14:textFill>
        </w:rPr>
        <w:t>”</w:t>
      </w:r>
      <w:r>
        <w:rPr>
          <w:rStyle w:val="36"/>
          <w:rFonts w:hint="default" w:ascii="仿宋" w:hAnsi="仿宋" w:eastAsia="仿宋" w:cs="仿宋_GB2312"/>
          <w:color w:val="000000" w:themeColor="text1"/>
          <w:sz w:val="28"/>
          <w:szCs w:val="28"/>
          <w14:textFill>
            <w14:solidFill>
              <w14:schemeClr w14:val="tx1"/>
            </w14:solidFill>
          </w14:textFill>
        </w:rPr>
        <w:t>缩小城乡“数字鸿沟”，实现乡村治理现代化，让基层治理更简单，让干群协作更紧密，让村民生活更丰富；推行党员“联户积分”、责任网格地图上墙公示，建立问题处置“四级闭环”工作流程，及时发布督查通报，高标准打造“四联五到位”活动室，镇村服务大厅实时更新“为民驿站”服务墙，充分发挥党员在推动产业发展、优化营商环境、维护社会稳定等方面的先锋模范作用，构建党员带头、干群联动、合力共建的良好局面。</w:t>
      </w:r>
    </w:p>
    <w:p>
      <w:pPr>
        <w:adjustRightInd w:val="0"/>
        <w:snapToGrid w:val="0"/>
        <w:spacing w:line="560" w:lineRule="exact"/>
        <w:ind w:firstLine="560" w:firstLineChars="200"/>
        <w:rPr>
          <w:rFonts w:ascii="仿宋" w:hAnsi="仿宋" w:eastAsia="仿宋"/>
          <w:bCs/>
          <w:sz w:val="28"/>
          <w:szCs w:val="28"/>
        </w:rPr>
      </w:pPr>
      <w:r>
        <w:rPr>
          <w:rFonts w:ascii="仿宋" w:hAnsi="仿宋" w:eastAsia="仿宋" w:cs="仿宋_GB2312"/>
          <w:bCs/>
          <w:color w:val="000000" w:themeColor="text1"/>
          <w:kern w:val="0"/>
          <w:sz w:val="28"/>
          <w:szCs w:val="28"/>
          <w14:textFill>
            <w14:solidFill>
              <w14:schemeClr w14:val="tx1"/>
            </w14:solidFill>
          </w14:textFill>
        </w:rPr>
        <w:t>三是提升安全发展实效。</w:t>
      </w:r>
      <w:r>
        <w:rPr>
          <w:rFonts w:ascii="仿宋" w:hAnsi="仿宋" w:eastAsia="仿宋" w:cs="仿宋_GB2312"/>
          <w:color w:val="000000" w:themeColor="text1"/>
          <w:sz w:val="28"/>
          <w:szCs w:val="28"/>
          <w14:textFill>
            <w14:solidFill>
              <w14:schemeClr w14:val="tx1"/>
            </w14:solidFill>
          </w14:textFill>
        </w:rPr>
        <w:t>把防范化解重大风险摆在突出位置，每月召开安全工作例会，坚决遏制重大安全生产事故发生；持续完善“两站两员”管理机制，重点聚焦农村道路安全问题；详细勘查校车线路，确保辖区内校车全年安全营运。坚持打击和预防并举，引导群众参与到社会治理中来，营造群防群治的良好氛围；巩固扫黑除恶专项斗争成果，依法严厉打击各类违法犯罪活动，铲除黑恶势力滋生土壤，提振人民群众与黑恶势力斗争的信心；健全人民调解制度，努力实现民间纠纷调处成功率100%。</w:t>
      </w:r>
    </w:p>
    <w:p>
      <w:pPr>
        <w:adjustRightInd w:val="0"/>
        <w:snapToGrid w:val="0"/>
        <w:spacing w:line="560" w:lineRule="exact"/>
        <w:ind w:firstLine="560" w:firstLineChars="200"/>
        <w:rPr>
          <w:rFonts w:ascii="仿宋" w:hAnsi="仿宋" w:eastAsia="仿宋" w:cs="楷体"/>
          <w:color w:val="000000" w:themeColor="text1"/>
          <w:sz w:val="28"/>
          <w:szCs w:val="28"/>
          <w14:textFill>
            <w14:solidFill>
              <w14:schemeClr w14:val="tx1"/>
            </w14:solidFill>
          </w14:textFill>
        </w:rPr>
      </w:pPr>
      <w:r>
        <w:rPr>
          <w:rFonts w:hint="eastAsia" w:ascii="仿宋" w:hAnsi="仿宋" w:eastAsia="仿宋" w:cs="楷体"/>
          <w:color w:val="000000" w:themeColor="text1"/>
          <w:sz w:val="28"/>
          <w:szCs w:val="28"/>
          <w14:textFill>
            <w14:solidFill>
              <w14:schemeClr w14:val="tx1"/>
            </w14:solidFill>
          </w14:textFill>
        </w:rPr>
        <w:t>（二）坚持以乡村振兴、生态宜居、科教文卫为重点，不断提升人民群众满意度和幸福感，建设幸福夏铎。</w:t>
      </w:r>
    </w:p>
    <w:p>
      <w:pPr>
        <w:adjustRightInd w:val="0"/>
        <w:snapToGrid w:val="0"/>
        <w:spacing w:line="560" w:lineRule="exact"/>
        <w:ind w:firstLine="560" w:firstLineChars="200"/>
        <w:rPr>
          <w:rFonts w:ascii="仿宋" w:hAnsi="仿宋" w:eastAsia="仿宋" w:cs="仿宋_GB2312"/>
          <w:color w:val="000000" w:themeColor="text1"/>
          <w:sz w:val="28"/>
          <w:szCs w:val="28"/>
          <w:shd w:val="clear" w:color="auto" w:fill="FFFFFF"/>
          <w14:textFill>
            <w14:solidFill>
              <w14:schemeClr w14:val="tx1"/>
            </w14:solidFill>
          </w14:textFill>
        </w:rPr>
      </w:pPr>
      <w:r>
        <w:rPr>
          <w:rFonts w:ascii="仿宋" w:hAnsi="仿宋" w:eastAsia="仿宋" w:cs="仿宋_GB2312"/>
          <w:color w:val="000000" w:themeColor="text1"/>
          <w:sz w:val="28"/>
          <w:szCs w:val="28"/>
          <w:shd w:val="clear" w:color="auto" w:fill="FFFFFF"/>
          <w14:textFill>
            <w14:solidFill>
              <w14:schemeClr w14:val="tx1"/>
            </w14:solidFill>
          </w14:textFill>
        </w:rPr>
        <w:t>坚持按照“产业兴旺、生态宜居、乡风文明、治理有效、生活富裕”的要求，抓重点、提质量、增动能、强基础，实现夏铎铺镇农业强、农民富、农村美。</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一是积极实施乡村振兴战略。</w:t>
      </w:r>
      <w:r>
        <w:rPr>
          <w:rFonts w:ascii="仿宋" w:hAnsi="仿宋" w:eastAsia="仿宋" w:cs="仿宋_GB2312"/>
          <w:color w:val="000000" w:themeColor="text1"/>
          <w:sz w:val="28"/>
          <w:szCs w:val="28"/>
          <w:shd w:val="clear" w:color="auto" w:fill="FFFFFF"/>
          <w14:textFill>
            <w14:solidFill>
              <w14:schemeClr w14:val="tx1"/>
            </w14:solidFill>
          </w14:textFill>
        </w:rPr>
        <w:t>深入融合宁乡市“一环两带三园多点支撑”布局，积极培育“一镇一特”“一特一片”优势特色产业。引进全产业链项目，扎实推进农业现代化，形成产业集聚效应。全面推进全域土地综合整治，积极串联石仑关-香山国家森林公园-华强方特精品旅游路线，推动夏铎铺旅游目的地形象</w:t>
      </w:r>
      <w:r>
        <w:rPr>
          <w:rFonts w:ascii="仿宋" w:hAnsi="仿宋" w:eastAsia="仿宋" w:cs="仿宋_GB2312"/>
          <w:color w:val="000000" w:themeColor="text1"/>
          <w:sz w:val="28"/>
          <w:szCs w:val="28"/>
          <w14:textFill>
            <w14:solidFill>
              <w14:schemeClr w14:val="tx1"/>
            </w14:solidFill>
          </w14:textFill>
        </w:rPr>
        <w:t>塑造，推进公路沿线配套服务设施的规划建设，将夏铎铺旅游业打造为全宁乡乃至湖南的闪亮品牌。坚持不懈壮大集体经济，根据产业结构和特色将全镇9个村（社区）发展模式划分为农旅融合型、物业经营型、土地合作型和资源开发型4类，进一步明确实施乡村振兴战略的目标、任务、重点和路径。</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二是狠抓城乡人居环境整治。</w:t>
      </w:r>
      <w:r>
        <w:rPr>
          <w:rFonts w:ascii="仿宋" w:hAnsi="仿宋" w:eastAsia="仿宋" w:cs="仿宋_GB2312"/>
          <w:color w:val="000000" w:themeColor="text1"/>
          <w:sz w:val="28"/>
          <w:szCs w:val="28"/>
          <w14:textFill>
            <w14:solidFill>
              <w14:schemeClr w14:val="tx1"/>
            </w14:solidFill>
          </w14:textFill>
        </w:rPr>
        <w:t>按照“以人为本，共建共享；注重长效，建管并重；教育引导、移风易俗”的原则，大力推动“垃圾分类减量攻坚战”、“村庄清洁行动”、“蓝天保卫战”、“碧水攻坚战”及“厕所革命”等的全面展开，持续开展村庄清洁行动，做好垃圾、</w:t>
      </w:r>
      <w:r>
        <w:rPr>
          <w:rFonts w:ascii="仿宋" w:hAnsi="仿宋" w:eastAsia="仿宋" w:cs="仿宋_GB2312"/>
          <w:bCs/>
          <w:color w:val="000000" w:themeColor="text1"/>
          <w:sz w:val="28"/>
          <w:szCs w:val="28"/>
          <w14:textFill>
            <w14:solidFill>
              <w14:schemeClr w14:val="tx1"/>
            </w14:solidFill>
          </w14:textFill>
        </w:rPr>
        <w:t>工业废水、生活污水等的无害化处理工作，</w:t>
      </w:r>
      <w:r>
        <w:rPr>
          <w:rFonts w:ascii="仿宋" w:hAnsi="仿宋" w:eastAsia="仿宋" w:cs="仿宋_GB2312"/>
          <w:color w:val="000000" w:themeColor="text1"/>
          <w:sz w:val="28"/>
          <w:szCs w:val="28"/>
          <w14:textFill>
            <w14:solidFill>
              <w14:schemeClr w14:val="tx1"/>
            </w14:solidFill>
          </w14:textFill>
        </w:rPr>
        <w:t>整治畜禽养殖污染、农业面源污染，推进工业废气和粉尘扬尘治理，加大森林植被保护力度，严厉打击滥砍滥伐，防止严重破坏生态环境的采石场、取土场、洗砂场等死灰复燃，力争到2022年底“五治”（治厕、治垃圾、治水、治房、治风）工作取得阶段性胜利，健全完善城乡公共设施和环境卫生管护长效机制，加快推进基础设施建设，推动城乡人居环境全面改善，努力争创全国健康乡镇，使夏铎铺真正成为宁乡的新客厅。</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三是推进科教文卫事业发展。有效解决教育、医疗等优质资源短缺的问题，努力实现基本公共服务均等化。不断满足群众在教育培训、文化体育、健康养老、就业收入、应急保障、市场稳定、安全生活等方面的服务需求。聘请专家教授坐诊，在镇卫生院原有基础上投资800万元建设宁乡市消化专科病室，筹建九年制义务学校，加快促进基本公共服务市场化、多元化、优质化，不断增强群众的获得感幸福感。</w:t>
      </w:r>
    </w:p>
    <w:p>
      <w:pPr>
        <w:widowControl/>
        <w:adjustRightInd w:val="0"/>
        <w:snapToGrid w:val="0"/>
        <w:spacing w:line="560" w:lineRule="exact"/>
        <w:ind w:firstLine="560" w:firstLineChars="200"/>
        <w:rPr>
          <w:rFonts w:ascii="仿宋" w:hAnsi="仿宋" w:eastAsia="仿宋" w:cs="楷体"/>
          <w:color w:val="000000" w:themeColor="text1"/>
          <w:sz w:val="28"/>
          <w:szCs w:val="28"/>
          <w14:textFill>
            <w14:solidFill>
              <w14:schemeClr w14:val="tx1"/>
            </w14:solidFill>
          </w14:textFill>
        </w:rPr>
      </w:pPr>
      <w:r>
        <w:rPr>
          <w:rFonts w:hint="eastAsia" w:ascii="仿宋" w:hAnsi="仿宋" w:eastAsia="仿宋" w:cs="楷体"/>
          <w:color w:val="000000" w:themeColor="text1"/>
          <w:sz w:val="28"/>
          <w:szCs w:val="28"/>
          <w14:textFill>
            <w14:solidFill>
              <w14:schemeClr w14:val="tx1"/>
            </w14:solidFill>
          </w14:textFill>
        </w:rPr>
        <w:t>（三）坚持以转型升级、土地整治、服务发展为重点，稳步推进城乡融合，建设活力夏铎。</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随着供给侧改革的进一步加深，农村三产融合将成为拉动我国农业农村积极发展新的增长极。我们要抓住关键，找准产业融合点，培育融合支撑点，把握政策着力点，扎牢利益联结点，不断推进三产融合，实现“为农、务农、兴农”的发展目标。</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sz w:val="28"/>
          <w:szCs w:val="28"/>
          <w14:textFill>
            <w14:solidFill>
              <w14:schemeClr w14:val="tx1"/>
            </w14:solidFill>
          </w14:textFill>
        </w:rPr>
        <w:t>一是大力推动传统产业转型升级。</w:t>
      </w:r>
      <w:r>
        <w:rPr>
          <w:rFonts w:ascii="仿宋" w:hAnsi="仿宋" w:eastAsia="仿宋" w:cs="仿宋_GB2312"/>
          <w:color w:val="000000" w:themeColor="text1"/>
          <w:sz w:val="28"/>
          <w:szCs w:val="28"/>
          <w14:textFill>
            <w14:solidFill>
              <w14:schemeClr w14:val="tx1"/>
            </w14:solidFill>
          </w14:textFill>
        </w:rPr>
        <w:t>大力支持忘不了服饰有限公司瞄准国内中高端市场和国外新兴市场，大力拓展高端设计、私人订制、“互联网+”等新兴领域，不断提升个性化、品牌化、柔性化制造生产水平，进一步提升竞争力，并逐渐形成集聚效应，大力推动传统产业转型，向高端发展。促进工业转型升级，争取“香山精密智造小镇”获批湖南省工业特色小镇。积极协助载体单位，不断推动夏铎铺机械工业园以提质更新为主，协助高新区推进园区硬件设施和服务体系的专业化升级，促进相关企业逐步向新兴产业发展，提升竞争力，形成新兴产业集聚效应，推动相关企业从二产向二三产业融合发展。</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sz w:val="28"/>
          <w:szCs w:val="28"/>
          <w14:textFill>
            <w14:solidFill>
              <w14:schemeClr w14:val="tx1"/>
            </w14:solidFill>
          </w14:textFill>
        </w:rPr>
        <w:t>二是积极推进全域土地综合整治。</w:t>
      </w:r>
      <w:r>
        <w:rPr>
          <w:rFonts w:ascii="仿宋" w:hAnsi="仿宋" w:eastAsia="仿宋" w:cs="仿宋_GB2312"/>
          <w:color w:val="000000" w:themeColor="text1"/>
          <w:sz w:val="28"/>
          <w:szCs w:val="28"/>
          <w14:textFill>
            <w14:solidFill>
              <w14:schemeClr w14:val="tx1"/>
            </w14:solidFill>
          </w14:textFill>
        </w:rPr>
        <w:t>项目分东（天马）、南（凤桥）两个片区分期推进，东片区以蓝城集团为核心，打造“一廊两核四心四村四园四组团”，以康养和高服为重点，大力提升区域经济、生态、社会、品牌价值，成为产业高服龙头引擎、城乡统筹发展样板、高端康养度假标杆；南片区进一步加强与正大集团、时代阳光等企业对接，引入现代农业生产理念，打造集生产、流通、技术服务、培训一体化为核心的现代农业产业高科技服务园区，最终形成一个以优质蔬菜种苗生产销售、旅游观光、采摘和餐饮为一体的三产融合项目，形成以点带面辐射其他村（社区）的联动发展格局。通过不断推进的产业融合，从而破除妨碍城乡要素自由流动和平等交换的体制机制壁垒，促进各类要素更多向乡村流动，形成人才、土地、资金、产业、信息汇聚的良性循环。进一步完善安置区规划、土地整治规划、镇村空间规划、搬迁实施方案、产业项目布局等，力争打造集约高效的生产空间，营造宜居适度的生活空间，保护山清水秀的生态空间。</w:t>
      </w:r>
    </w:p>
    <w:p>
      <w:pPr>
        <w:adjustRightInd w:val="0"/>
        <w:snapToGrid w:val="0"/>
        <w:spacing w:line="560" w:lineRule="exact"/>
        <w:ind w:firstLine="560" w:firstLineChars="200"/>
        <w:rPr>
          <w:rFonts w:ascii="仿宋" w:hAnsi="仿宋" w:eastAsia="仿宋" w:cs="仿宋_GB2312"/>
          <w:bCs/>
          <w:color w:val="000000" w:themeColor="text1"/>
          <w:sz w:val="28"/>
          <w:szCs w:val="28"/>
          <w14:textFill>
            <w14:solidFill>
              <w14:schemeClr w14:val="tx1"/>
            </w14:solidFill>
          </w14:textFill>
        </w:rPr>
      </w:pPr>
      <w:r>
        <w:rPr>
          <w:rFonts w:ascii="仿宋" w:hAnsi="仿宋" w:eastAsia="仿宋" w:cs="仿宋_GB2312"/>
          <w:bCs/>
          <w:color w:val="000000" w:themeColor="text1"/>
          <w:sz w:val="28"/>
          <w:szCs w:val="28"/>
          <w14:textFill>
            <w14:solidFill>
              <w14:schemeClr w14:val="tx1"/>
            </w14:solidFill>
          </w14:textFill>
        </w:rPr>
        <w:t>三是全力服务好载体单位的要素保障。</w:t>
      </w:r>
      <w:r>
        <w:rPr>
          <w:rFonts w:ascii="仿宋" w:hAnsi="仿宋" w:eastAsia="仿宋" w:cs="仿宋_GB2312"/>
          <w:color w:val="000000" w:themeColor="text1"/>
          <w:sz w:val="28"/>
          <w:szCs w:val="28"/>
          <w14:textFill>
            <w14:solidFill>
              <w14:schemeClr w14:val="tx1"/>
            </w14:solidFill>
          </w14:textFill>
        </w:rPr>
        <w:t>服务项目就是服务发展，全力维护宁乡高新区、国资集团、沩东新城等载体单位的项目施工环境，保障省电网“630攻坚”500千伏变电站，长沙幼儿师专、卫职院附属医院等项目的顺利推进；积极争取政策倾斜，吸引更多社会资本参与基础设施、产业发展和民生项目建设；增加力量到项目服务一线，维护施工环境，协调各方关系，想方设法为项目顺利动工创造条件，扫清障碍；实施阳光拆迁，确保公平、公正、公开，高效推进拆迁腾地、闲置土地清理，切实强化用地保障。</w:t>
      </w:r>
    </w:p>
    <w:p>
      <w:pPr>
        <w:adjustRightInd w:val="0"/>
        <w:snapToGrid w:val="0"/>
        <w:spacing w:line="560" w:lineRule="exact"/>
        <w:ind w:firstLine="560" w:firstLineChars="200"/>
        <w:rPr>
          <w:rFonts w:ascii="仿宋" w:hAnsi="仿宋" w:eastAsia="仿宋" w:cs="楷体"/>
          <w:color w:val="000000" w:themeColor="text1"/>
          <w:sz w:val="28"/>
          <w:szCs w:val="28"/>
          <w14:textFill>
            <w14:solidFill>
              <w14:schemeClr w14:val="tx1"/>
            </w14:solidFill>
          </w14:textFill>
        </w:rPr>
      </w:pPr>
      <w:r>
        <w:rPr>
          <w:rFonts w:hint="eastAsia" w:ascii="仿宋" w:hAnsi="仿宋" w:eastAsia="仿宋" w:cs="楷体"/>
          <w:color w:val="000000" w:themeColor="text1"/>
          <w:sz w:val="28"/>
          <w:szCs w:val="28"/>
          <w14:textFill>
            <w14:solidFill>
              <w14:schemeClr w14:val="tx1"/>
            </w14:solidFill>
          </w14:textFill>
        </w:rPr>
        <w:t>（四）坚持以法治建设、作风建设、惩防并举为重点，稳步提升队伍履职能力，建设廉洁夏铎。</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坚定不移从严管党治党，不断优化政府办事效率，营造夏铎风清气正氛围。</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一是推进法治建设，严格依法行政。</w:t>
      </w:r>
      <w:r>
        <w:rPr>
          <w:rFonts w:ascii="仿宋" w:hAnsi="仿宋" w:eastAsia="仿宋" w:cs="仿宋_GB2312"/>
          <w:color w:val="000000" w:themeColor="text1"/>
          <w:sz w:val="28"/>
          <w:szCs w:val="28"/>
          <w14:textFill>
            <w14:solidFill>
              <w14:schemeClr w14:val="tx1"/>
            </w14:solidFill>
          </w14:textFill>
        </w:rPr>
        <w:t>严格落实法治政府建设责任，不断强化法治思维，落实重大行政决策的程序和制度；深化政务公开，扎实做好“互联网+政务服务”，及时主动回应社会关切，受理业务办结率、市长热线回复率均达到100%。</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二是强化作风建设，坚守纪律底线。</w:t>
      </w:r>
      <w:r>
        <w:rPr>
          <w:rFonts w:ascii="仿宋" w:hAnsi="仿宋" w:eastAsia="仿宋" w:cs="仿宋_GB2312"/>
          <w:color w:val="000000" w:themeColor="text1"/>
          <w:sz w:val="28"/>
          <w:szCs w:val="28"/>
          <w14:textFill>
            <w14:solidFill>
              <w14:schemeClr w14:val="tx1"/>
            </w14:solidFill>
          </w14:textFill>
        </w:rPr>
        <w:t>牢固树立“四个意识”、坚定“四个自信”、做到“两个维护”， 落实全面从严治党总体要求，筑牢作风建设的思想防线；从宣传与责任落实两方面着手，推动全面从严治党向村组延伸；深入整改“四风”，明确镇村干部考核制度以及权力清单，重点整治党员干部的衙门作风、部门做派；加大警示教育力度，严守党的政治纪律和政治规矩，努力打造忠诚、干净、担当的干部队伍。</w:t>
      </w:r>
    </w:p>
    <w:p>
      <w:pPr>
        <w:adjustRightInd w:val="0"/>
        <w:snapToGrid w:val="0"/>
        <w:spacing w:line="56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Cs/>
          <w:color w:val="000000" w:themeColor="text1"/>
          <w:kern w:val="0"/>
          <w:sz w:val="28"/>
          <w:szCs w:val="28"/>
          <w14:textFill>
            <w14:solidFill>
              <w14:schemeClr w14:val="tx1"/>
            </w14:solidFill>
          </w14:textFill>
        </w:rPr>
        <w:t>三是突出惩防并举，推进廉洁从政。</w:t>
      </w:r>
      <w:r>
        <w:rPr>
          <w:rFonts w:ascii="仿宋" w:hAnsi="仿宋" w:eastAsia="仿宋" w:cs="仿宋_GB2312"/>
          <w:color w:val="000000" w:themeColor="text1"/>
          <w:sz w:val="28"/>
          <w:szCs w:val="28"/>
          <w14:textFill>
            <w14:solidFill>
              <w14:schemeClr w14:val="tx1"/>
            </w14:solidFill>
          </w14:textFill>
        </w:rPr>
        <w:t>坚持标本兼治，惩防并举，既重视预防教育，也严肃查处违纪人员；实现抓早抓小的经常化、制度化，让咬耳扯袖、红脸出汗成为常态；始终坚守纪律底线，对违纪行为坚决亮红牌，绝不姑息纵容，以严格的执纪彰显纪律的权威，进一步纯化党风政风。</w:t>
      </w:r>
    </w:p>
    <w:p>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M2U0ZmEzZTYyZDY0OTE3MGJmMTFjOGVlYWNlODcifQ=="/>
  </w:docVars>
  <w:rsids>
    <w:rsidRoot w:val="68B2114B"/>
    <w:rsid w:val="000E5B17"/>
    <w:rsid w:val="002D750E"/>
    <w:rsid w:val="00370B40"/>
    <w:rsid w:val="003B29CB"/>
    <w:rsid w:val="005F2F0B"/>
    <w:rsid w:val="007F4181"/>
    <w:rsid w:val="008E1AA4"/>
    <w:rsid w:val="00A3702E"/>
    <w:rsid w:val="00B156C4"/>
    <w:rsid w:val="00B50390"/>
    <w:rsid w:val="00F05383"/>
    <w:rsid w:val="00F659E4"/>
    <w:rsid w:val="11F93E49"/>
    <w:rsid w:val="12C17B4C"/>
    <w:rsid w:val="17CB1FE7"/>
    <w:rsid w:val="1AAF3C29"/>
    <w:rsid w:val="217B1706"/>
    <w:rsid w:val="244B2D8D"/>
    <w:rsid w:val="318555E4"/>
    <w:rsid w:val="32AD2AEB"/>
    <w:rsid w:val="479C52AA"/>
    <w:rsid w:val="5FA07639"/>
    <w:rsid w:val="68B2114B"/>
    <w:rsid w:val="6AB61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0" w:name="HTML Keyboard"/>
    <w:lsdException w:uiPriority="0" w:name="HTML Preformatted"/>
    <w:lsdException w:uiPriority="0" w:name="HTML Sample"/>
    <w:lsdException w:uiPriority="0" w:name="HTML Typewriter"/>
    <w:lsdException w:qFormat="1"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jc w:val="left"/>
      <w:outlineLvl w:val="0"/>
    </w:pPr>
    <w:rPr>
      <w:rFonts w:ascii="微软雅黑" w:hAnsi="微软雅黑" w:eastAsia="微软雅黑" w:cs="Times New Roman"/>
      <w:b/>
      <w:bCs/>
      <w:color w:val="333333"/>
      <w:kern w:val="44"/>
      <w:sz w:val="24"/>
    </w:rPr>
  </w:style>
  <w:style w:type="paragraph" w:styleId="4">
    <w:name w:val="heading 2"/>
    <w:basedOn w:val="1"/>
    <w:next w:val="1"/>
    <w:semiHidden/>
    <w:unhideWhenUsed/>
    <w:qFormat/>
    <w:uiPriority w:val="0"/>
    <w:pPr>
      <w:jc w:val="left"/>
      <w:outlineLvl w:val="1"/>
    </w:pPr>
    <w:rPr>
      <w:rFonts w:hint="eastAsia" w:ascii="微软雅黑" w:hAnsi="微软雅黑" w:eastAsia="微软雅黑" w:cs="Times New Roman"/>
      <w:b/>
      <w:bCs/>
      <w:color w:val="333333"/>
      <w:kern w:val="0"/>
      <w:sz w:val="24"/>
    </w:rPr>
  </w:style>
  <w:style w:type="paragraph" w:styleId="5">
    <w:name w:val="heading 4"/>
    <w:basedOn w:val="1"/>
    <w:next w:val="1"/>
    <w:semiHidden/>
    <w:unhideWhenUsed/>
    <w:qFormat/>
    <w:uiPriority w:val="0"/>
    <w:pPr>
      <w:jc w:val="left"/>
      <w:outlineLvl w:val="3"/>
    </w:pPr>
    <w:rPr>
      <w:rFonts w:hint="eastAsia" w:ascii="微软雅黑" w:hAnsi="微软雅黑" w:eastAsia="微软雅黑" w:cs="Times New Roman"/>
      <w:b/>
      <w:bCs/>
      <w:color w:val="333333"/>
      <w:kern w:val="0"/>
      <w:sz w:val="2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6">
    <w:name w:val="annotation text"/>
    <w:basedOn w:val="1"/>
    <w:link w:val="39"/>
    <w:semiHidden/>
    <w:unhideWhenUsed/>
    <w:qFormat/>
    <w:uiPriority w:val="0"/>
    <w:pPr>
      <w:jc w:val="left"/>
    </w:pPr>
  </w:style>
  <w:style w:type="paragraph" w:styleId="7">
    <w:name w:val="Plain Text"/>
    <w:basedOn w:val="1"/>
    <w:link w:val="34"/>
    <w:unhideWhenUsed/>
    <w:qFormat/>
    <w:uiPriority w:val="0"/>
    <w:rPr>
      <w:rFonts w:ascii="宋体" w:hAnsi="Courier New" w:eastAsia="宋体" w:cs="Courier New"/>
      <w:szCs w:val="21"/>
    </w:rPr>
  </w:style>
  <w:style w:type="paragraph" w:styleId="8">
    <w:name w:val="Balloon Text"/>
    <w:basedOn w:val="1"/>
    <w:link w:val="33"/>
    <w:qFormat/>
    <w:uiPriority w:val="0"/>
    <w:rPr>
      <w:sz w:val="18"/>
      <w:szCs w:val="18"/>
    </w:rPr>
  </w:style>
  <w:style w:type="paragraph" w:styleId="9">
    <w:name w:val="footer"/>
    <w:basedOn w:val="1"/>
    <w:link w:val="38"/>
    <w:unhideWhenUsed/>
    <w:qFormat/>
    <w:uiPriority w:val="0"/>
    <w:pPr>
      <w:tabs>
        <w:tab w:val="center" w:pos="4153"/>
        <w:tab w:val="right" w:pos="8306"/>
      </w:tabs>
      <w:snapToGrid w:val="0"/>
      <w:jc w:val="left"/>
    </w:pPr>
    <w:rPr>
      <w:sz w:val="18"/>
      <w:szCs w:val="18"/>
    </w:rPr>
  </w:style>
  <w:style w:type="paragraph" w:styleId="10">
    <w:name w:val="header"/>
    <w:basedOn w:val="1"/>
    <w:link w:val="37"/>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jc w:val="left"/>
      <w:textAlignment w:val="center"/>
    </w:pPr>
    <w:rPr>
      <w:rFonts w:hint="eastAsia" w:ascii="微软雅黑" w:hAnsi="微软雅黑" w:eastAsia="微软雅黑" w:cs="Times New Roman"/>
      <w:color w:val="333333"/>
      <w:kern w:val="0"/>
      <w:sz w:val="24"/>
    </w:rPr>
  </w:style>
  <w:style w:type="paragraph" w:styleId="12">
    <w:name w:val="annotation subject"/>
    <w:basedOn w:val="6"/>
    <w:next w:val="6"/>
    <w:link w:val="40"/>
    <w:semiHidden/>
    <w:unhideWhenUsed/>
    <w:qFormat/>
    <w:uiPriority w:val="0"/>
    <w:rPr>
      <w:b/>
      <w:bCs/>
    </w:rPr>
  </w:style>
  <w:style w:type="character" w:styleId="15">
    <w:name w:val="Strong"/>
    <w:basedOn w:val="14"/>
    <w:qFormat/>
    <w:uiPriority w:val="0"/>
    <w:rPr>
      <w:b/>
    </w:rPr>
  </w:style>
  <w:style w:type="character" w:styleId="16">
    <w:name w:val="FollowedHyperlink"/>
    <w:basedOn w:val="14"/>
    <w:qFormat/>
    <w:uiPriority w:val="0"/>
    <w:rPr>
      <w:color w:val="333333"/>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Acronym"/>
    <w:basedOn w:val="14"/>
    <w:qFormat/>
    <w:uiPriority w:val="0"/>
  </w:style>
  <w:style w:type="character" w:styleId="20">
    <w:name w:val="HTML Variable"/>
    <w:basedOn w:val="14"/>
    <w:qFormat/>
    <w:uiPriority w:val="0"/>
  </w:style>
  <w:style w:type="character" w:styleId="21">
    <w:name w:val="Hyperlink"/>
    <w:basedOn w:val="14"/>
    <w:qFormat/>
    <w:uiPriority w:val="0"/>
    <w:rPr>
      <w:color w:val="333333"/>
      <w:u w:val="none"/>
    </w:rPr>
  </w:style>
  <w:style w:type="character" w:styleId="22">
    <w:name w:val="HTML Code"/>
    <w:basedOn w:val="14"/>
    <w:qFormat/>
    <w:uiPriority w:val="0"/>
    <w:rPr>
      <w:rFonts w:hint="eastAsia" w:ascii="微软雅黑" w:hAnsi="微软雅黑" w:eastAsia="微软雅黑" w:cs="微软雅黑"/>
      <w:color w:val="333333"/>
      <w:sz w:val="24"/>
      <w:szCs w:val="24"/>
    </w:rPr>
  </w:style>
  <w:style w:type="character" w:styleId="23">
    <w:name w:val="annotation reference"/>
    <w:basedOn w:val="14"/>
    <w:semiHidden/>
    <w:unhideWhenUsed/>
    <w:qFormat/>
    <w:uiPriority w:val="0"/>
    <w:rPr>
      <w:sz w:val="21"/>
      <w:szCs w:val="21"/>
    </w:rPr>
  </w:style>
  <w:style w:type="character" w:styleId="24">
    <w:name w:val="HTML Cite"/>
    <w:basedOn w:val="14"/>
    <w:qFormat/>
    <w:uiPriority w:val="0"/>
  </w:style>
  <w:style w:type="character" w:customStyle="1" w:styleId="25">
    <w:name w:val="layui-layer-tabnow"/>
    <w:basedOn w:val="14"/>
    <w:qFormat/>
    <w:uiPriority w:val="0"/>
    <w:rPr>
      <w:bdr w:val="single" w:color="CCCCCC" w:sz="6" w:space="0"/>
      <w:shd w:val="clear" w:color="auto" w:fill="FFFFFF"/>
    </w:rPr>
  </w:style>
  <w:style w:type="character" w:customStyle="1" w:styleId="26">
    <w:name w:val="first-child1"/>
    <w:basedOn w:val="14"/>
    <w:qFormat/>
    <w:uiPriority w:val="0"/>
  </w:style>
  <w:style w:type="character" w:customStyle="1" w:styleId="27">
    <w:name w:val="disabled"/>
    <w:basedOn w:val="14"/>
    <w:qFormat/>
    <w:uiPriority w:val="0"/>
    <w:rPr>
      <w:color w:val="DFDFDF"/>
      <w:bdr w:val="single" w:color="DFDFDF" w:sz="6" w:space="0"/>
      <w:shd w:val="clear" w:color="auto" w:fill="FFFFFF"/>
    </w:rPr>
  </w:style>
  <w:style w:type="character" w:customStyle="1" w:styleId="28">
    <w:name w:val="curr"/>
    <w:basedOn w:val="14"/>
    <w:qFormat/>
    <w:uiPriority w:val="0"/>
    <w:rPr>
      <w:color w:val="006699"/>
      <w:bdr w:val="single" w:color="006699" w:sz="6" w:space="0"/>
      <w:shd w:val="clear" w:color="auto" w:fill="E6F1F7"/>
    </w:rPr>
  </w:style>
  <w:style w:type="paragraph" w:customStyle="1" w:styleId="29">
    <w:name w:val="_Style 20"/>
    <w:basedOn w:val="1"/>
    <w:next w:val="1"/>
    <w:qFormat/>
    <w:uiPriority w:val="0"/>
    <w:pPr>
      <w:pBdr>
        <w:bottom w:val="single" w:color="auto" w:sz="6" w:space="1"/>
      </w:pBdr>
      <w:jc w:val="center"/>
    </w:pPr>
    <w:rPr>
      <w:rFonts w:ascii="Arial" w:eastAsia="宋体"/>
      <w:vanish/>
      <w:sz w:val="16"/>
    </w:rPr>
  </w:style>
  <w:style w:type="paragraph" w:customStyle="1" w:styleId="30">
    <w:name w:val="_Style 21"/>
    <w:basedOn w:val="1"/>
    <w:next w:val="1"/>
    <w:qFormat/>
    <w:uiPriority w:val="0"/>
    <w:pPr>
      <w:pBdr>
        <w:top w:val="single" w:color="auto" w:sz="6" w:space="1"/>
      </w:pBdr>
      <w:jc w:val="center"/>
    </w:pPr>
    <w:rPr>
      <w:rFonts w:ascii="Arial" w:eastAsia="宋体"/>
      <w:vanish/>
      <w:sz w:val="16"/>
    </w:rPr>
  </w:style>
  <w:style w:type="character" w:customStyle="1" w:styleId="31">
    <w:name w:val="search-txt1"/>
    <w:basedOn w:val="14"/>
    <w:qFormat/>
    <w:uiPriority w:val="0"/>
    <w:rPr>
      <w:sz w:val="21"/>
      <w:szCs w:val="21"/>
      <w:shd w:val="clear" w:color="auto" w:fill="E7F2F9"/>
    </w:rPr>
  </w:style>
  <w:style w:type="character" w:customStyle="1" w:styleId="32">
    <w:name w:val="search-btn1"/>
    <w:basedOn w:val="14"/>
    <w:qFormat/>
    <w:uiPriority w:val="0"/>
    <w:rPr>
      <w:color w:val="FFFFFF"/>
      <w:bdr w:val="single" w:color="C0CAD1" w:sz="6" w:space="0"/>
      <w:shd w:val="clear" w:color="auto" w:fill="E7F2F9"/>
    </w:rPr>
  </w:style>
  <w:style w:type="character" w:customStyle="1" w:styleId="33">
    <w:name w:val="批注框文本 字符"/>
    <w:basedOn w:val="14"/>
    <w:link w:val="8"/>
    <w:qFormat/>
    <w:uiPriority w:val="0"/>
    <w:rPr>
      <w:rFonts w:asciiTheme="minorHAnsi" w:hAnsiTheme="minorHAnsi" w:eastAsiaTheme="minorEastAsia" w:cstheme="minorBidi"/>
      <w:kern w:val="2"/>
      <w:sz w:val="18"/>
      <w:szCs w:val="18"/>
    </w:rPr>
  </w:style>
  <w:style w:type="character" w:customStyle="1" w:styleId="34">
    <w:name w:val="纯文本 字符"/>
    <w:basedOn w:val="14"/>
    <w:link w:val="7"/>
    <w:qFormat/>
    <w:uiPriority w:val="0"/>
    <w:rPr>
      <w:rFonts w:ascii="宋体" w:hAnsi="Courier New" w:cs="Courier New"/>
      <w:kern w:val="2"/>
      <w:sz w:val="21"/>
      <w:szCs w:val="21"/>
    </w:rPr>
  </w:style>
  <w:style w:type="paragraph" w:customStyle="1" w:styleId="35">
    <w:name w:val="UserStyle_0"/>
    <w:basedOn w:val="1"/>
    <w:qFormat/>
    <w:uiPriority w:val="0"/>
    <w:pPr>
      <w:snapToGrid w:val="0"/>
      <w:spacing w:line="500" w:lineRule="exact"/>
      <w:ind w:firstLine="602" w:firstLineChars="200"/>
      <w:jc w:val="left"/>
    </w:pPr>
    <w:rPr>
      <w:rFonts w:ascii="Calibri" w:hAnsi="Calibri" w:eastAsia="仿宋"/>
      <w:color w:val="000000"/>
      <w:sz w:val="18"/>
      <w:szCs w:val="18"/>
    </w:rPr>
  </w:style>
  <w:style w:type="character" w:customStyle="1" w:styleId="36">
    <w:name w:val="NormalCharacter"/>
    <w:semiHidden/>
    <w:qFormat/>
    <w:uiPriority w:val="0"/>
    <w:rPr>
      <w:rFonts w:hint="eastAsia" w:asciiTheme="minorHAnsi" w:hAnsiTheme="minorHAnsi" w:eastAsiaTheme="minorEastAsia" w:cstheme="minorBidi"/>
      <w:kern w:val="2"/>
      <w:sz w:val="21"/>
      <w:szCs w:val="22"/>
      <w:lang w:val="en-US" w:eastAsia="zh-CN" w:bidi="ar-SA"/>
    </w:rPr>
  </w:style>
  <w:style w:type="character" w:customStyle="1" w:styleId="37">
    <w:name w:val="页眉 字符"/>
    <w:basedOn w:val="14"/>
    <w:link w:val="10"/>
    <w:qFormat/>
    <w:uiPriority w:val="0"/>
    <w:rPr>
      <w:rFonts w:asciiTheme="minorHAnsi" w:hAnsiTheme="minorHAnsi" w:eastAsiaTheme="minorEastAsia" w:cstheme="minorBidi"/>
      <w:kern w:val="2"/>
      <w:sz w:val="18"/>
      <w:szCs w:val="18"/>
    </w:rPr>
  </w:style>
  <w:style w:type="character" w:customStyle="1" w:styleId="38">
    <w:name w:val="页脚 字符"/>
    <w:basedOn w:val="14"/>
    <w:link w:val="9"/>
    <w:qFormat/>
    <w:uiPriority w:val="0"/>
    <w:rPr>
      <w:rFonts w:asciiTheme="minorHAnsi" w:hAnsiTheme="minorHAnsi" w:eastAsiaTheme="minorEastAsia" w:cstheme="minorBidi"/>
      <w:kern w:val="2"/>
      <w:sz w:val="18"/>
      <w:szCs w:val="18"/>
    </w:rPr>
  </w:style>
  <w:style w:type="character" w:customStyle="1" w:styleId="39">
    <w:name w:val="批注文字 字符"/>
    <w:basedOn w:val="14"/>
    <w:link w:val="6"/>
    <w:semiHidden/>
    <w:qFormat/>
    <w:uiPriority w:val="0"/>
    <w:rPr>
      <w:rFonts w:asciiTheme="minorHAnsi" w:hAnsiTheme="minorHAnsi" w:eastAsiaTheme="minorEastAsia" w:cstheme="minorBidi"/>
      <w:kern w:val="2"/>
      <w:sz w:val="21"/>
      <w:szCs w:val="24"/>
    </w:rPr>
  </w:style>
  <w:style w:type="character" w:customStyle="1" w:styleId="40">
    <w:name w:val="批注主题 字符"/>
    <w:basedOn w:val="39"/>
    <w:link w:val="12"/>
    <w:semiHidden/>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9107</Words>
  <Characters>9538</Characters>
  <Lines>74</Lines>
  <Paragraphs>20</Paragraphs>
  <TotalTime>126</TotalTime>
  <ScaleCrop>false</ScaleCrop>
  <LinksUpToDate>false</LinksUpToDate>
  <CharactersWithSpaces>9543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2021-07-22T07:26:00Z</dcterms:created>
  <dc:creator>Administrator</dc:creator>
  <cp:lastModifiedBy>冬天的温暖</cp:lastModifiedBy>
  <dcterms:modified xsi:type="dcterms:W3CDTF">2022-07-22T01:22:59Z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5884F2158FC949F296E91C51EB501C65</vt:lpwstr>
  </property>
</Properties>
</file>