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line="450" w:lineRule="atLeast"/>
        <w:ind w:firstLine="2151" w:firstLineChars="500"/>
        <w:jc w:val="both"/>
        <w:rPr>
          <w:rFonts w:hint="default"/>
        </w:rPr>
      </w:pPr>
      <w:bookmarkStart w:id="0" w:name="_GoBack"/>
      <w:bookmarkEnd w:id="0"/>
      <w:r>
        <w:rPr>
          <w:rFonts w:hint="default" w:ascii="Times New Roman" w:hAnsi="Times New Roman"/>
          <w:sz w:val="43"/>
          <w:szCs w:val="43"/>
        </w:rPr>
        <w:t>2020</w:t>
      </w:r>
      <w:r>
        <w:rPr>
          <w:rFonts w:ascii="方正小标宋简体" w:hAnsi="方正小标宋简体" w:eastAsia="方正小标宋简体" w:cs="方正小标宋简体"/>
          <w:sz w:val="36"/>
          <w:szCs w:val="36"/>
        </w:rPr>
        <w:t xml:space="preserve">年度夏铎铺镇 </w:t>
      </w:r>
    </w:p>
    <w:p>
      <w:pPr>
        <w:pStyle w:val="10"/>
        <w:widowControl/>
        <w:spacing w:after="466" w:line="435" w:lineRule="atLeast"/>
        <w:jc w:val="center"/>
        <w:rPr>
          <w:rFonts w:hint="default"/>
        </w:rPr>
      </w:pPr>
      <w:r>
        <w:rPr>
          <w:rFonts w:hint="default" w:ascii="方正小标宋简体" w:hAnsi="方正小标宋简体" w:eastAsia="方正小标宋简体" w:cs="方正小标宋简体"/>
          <w:sz w:val="36"/>
          <w:szCs w:val="36"/>
        </w:rPr>
        <w:t>部门整体支出绩效自评报告</w:t>
      </w:r>
    </w:p>
    <w:p>
      <w:pPr>
        <w:pStyle w:val="10"/>
        <w:widowControl/>
        <w:spacing w:line="435" w:lineRule="atLeast"/>
        <w:ind w:firstLine="555"/>
        <w:rPr>
          <w:rFonts w:hint="default" w:ascii="仿宋" w:hAnsi="仿宋" w:eastAsia="仿宋"/>
          <w:sz w:val="28"/>
          <w:szCs w:val="28"/>
        </w:rPr>
      </w:pPr>
      <w:r>
        <w:rPr>
          <w:rFonts w:ascii="仿宋" w:hAnsi="仿宋" w:eastAsia="仿宋" w:cs="黑体"/>
          <w:sz w:val="28"/>
          <w:szCs w:val="28"/>
        </w:rPr>
        <w:t>一、部门概况</w:t>
      </w:r>
    </w:p>
    <w:p>
      <w:pPr>
        <w:pStyle w:val="10"/>
        <w:widowControl/>
        <w:spacing w:line="435" w:lineRule="atLeast"/>
        <w:ind w:firstLine="555"/>
        <w:rPr>
          <w:rFonts w:hint="default" w:ascii="仿宋" w:hAnsi="仿宋" w:eastAsia="仿宋"/>
          <w:sz w:val="28"/>
          <w:szCs w:val="28"/>
        </w:rPr>
      </w:pPr>
      <w:r>
        <w:rPr>
          <w:rStyle w:val="14"/>
          <w:rFonts w:ascii="仿宋" w:hAnsi="仿宋" w:eastAsia="仿宋" w:cs="楷体_GB2312"/>
          <w:b w:val="0"/>
          <w:sz w:val="28"/>
          <w:szCs w:val="28"/>
        </w:rPr>
        <w:t>（一）部门基本情况</w:t>
      </w:r>
    </w:p>
    <w:p>
      <w:pPr>
        <w:pStyle w:val="10"/>
        <w:widowControl/>
        <w:spacing w:line="435" w:lineRule="atLeast"/>
        <w:ind w:firstLine="555"/>
        <w:rPr>
          <w:rFonts w:hint="default" w:ascii="仿宋" w:hAnsi="仿宋" w:eastAsia="仿宋"/>
          <w:sz w:val="28"/>
          <w:szCs w:val="28"/>
        </w:rPr>
      </w:pPr>
      <w:r>
        <w:rPr>
          <w:rStyle w:val="14"/>
          <w:rFonts w:hint="default" w:ascii="仿宋" w:hAnsi="仿宋" w:eastAsia="仿宋"/>
          <w:b w:val="0"/>
          <w:sz w:val="28"/>
          <w:szCs w:val="28"/>
        </w:rPr>
        <w:t>1</w:t>
      </w:r>
      <w:r>
        <w:rPr>
          <w:rStyle w:val="14"/>
          <w:rFonts w:ascii="仿宋" w:hAnsi="仿宋" w:eastAsia="仿宋" w:cs="仿宋_GB2312"/>
          <w:b w:val="0"/>
          <w:sz w:val="28"/>
          <w:szCs w:val="28"/>
        </w:rPr>
        <w:t>．职能职责</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1</w:t>
      </w:r>
      <w:r>
        <w:rPr>
          <w:rFonts w:hint="default" w:ascii="仿宋" w:hAnsi="仿宋" w:eastAsia="仿宋" w:cs="仿宋_GB2312"/>
          <w:sz w:val="28"/>
          <w:szCs w:val="28"/>
        </w:rPr>
        <w:t>）执行上级国家行政机关的决定、命令和国家制定的法令、法规。</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2</w:t>
      </w:r>
      <w:r>
        <w:rPr>
          <w:rFonts w:hint="default" w:ascii="仿宋" w:hAnsi="仿宋" w:eastAsia="仿宋" w:cs="仿宋_GB2312"/>
          <w:sz w:val="28"/>
          <w:szCs w:val="28"/>
        </w:rPr>
        <w:t>）制定并落实本行政区域的经济计划和措施，促进产业结构调整及其他经济保持平衡协调发展，全面提高人民群众的生活水平和生活质量。</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3</w:t>
      </w:r>
      <w:r>
        <w:rPr>
          <w:rFonts w:hint="default" w:ascii="仿宋" w:hAnsi="仿宋" w:eastAsia="仿宋" w:cs="仿宋_GB2312"/>
          <w:sz w:val="28"/>
          <w:szCs w:val="28"/>
        </w:rPr>
        <w:t>）承担国有资产、集体资产管理、监督及增值保值责任;保护公民私人所有合法财产，保障集体经济组织应有的自主权;监督企业和各种经济联合体、个体户认真执行国家的法律、法令和政策，履行经济合同。</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4</w:t>
      </w:r>
      <w:r>
        <w:rPr>
          <w:rFonts w:hint="default" w:ascii="仿宋" w:hAnsi="仿宋" w:eastAsia="仿宋" w:cs="仿宋_GB2312"/>
          <w:sz w:val="28"/>
          <w:szCs w:val="28"/>
        </w:rPr>
        <w:t>）开展社会主义民主和法制的宣传教育，保障公民的权利;制定社会治安综合治理工作规划并组织实施;加强社区管理工作，依法管理外来流动人口，处理人民来信来访，调解民间纠纷，打击违法犯罪，维护社会稳定。</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5</w:t>
      </w:r>
      <w:r>
        <w:rPr>
          <w:rFonts w:hint="default" w:ascii="仿宋" w:hAnsi="仿宋" w:eastAsia="仿宋" w:cs="仿宋_GB2312"/>
          <w:sz w:val="28"/>
          <w:szCs w:val="28"/>
        </w:rPr>
        <w:t>）制定社会各项事业发展计划，发展教育、卫生、科技、民政、广播电视、文化、体育事业;组织实施义务教育和其他各类教育;加强计划生育工作;推进社会保障、社会福利事业和养老保险工作;做好劳动管理、科普、老龄及宗教、侨务等工作。</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6</w:t>
      </w:r>
      <w:r>
        <w:rPr>
          <w:rFonts w:hint="default" w:ascii="仿宋" w:hAnsi="仿宋" w:eastAsia="仿宋" w:cs="仿宋_GB2312"/>
          <w:sz w:val="28"/>
          <w:szCs w:val="28"/>
        </w:rPr>
        <w:t>）加强街道财政的监督和管理，按计划组织、管理镇财政收入和支出，执行国家有关财经纪律和政策，保证国家财政收入的完成;做好统计工作。</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7</w:t>
      </w:r>
      <w:r>
        <w:rPr>
          <w:rFonts w:hint="default" w:ascii="仿宋" w:hAnsi="仿宋" w:eastAsia="仿宋" w:cs="仿宋_GB2312"/>
          <w:sz w:val="28"/>
          <w:szCs w:val="28"/>
        </w:rPr>
        <w:t>）指导、支持、帮助居民委员会的组织制度建设和业务建设。</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8</w:t>
      </w:r>
      <w:r>
        <w:rPr>
          <w:rFonts w:hint="default" w:ascii="仿宋" w:hAnsi="仿宋" w:eastAsia="仿宋" w:cs="仿宋_GB2312"/>
          <w:sz w:val="28"/>
          <w:szCs w:val="28"/>
        </w:rPr>
        <w:t>）制定和组织实施社区建设规划;加强公用、市政设施、水利建设和管理以及房屋土地管理和环境综合整治工作，保护和改善生活环境和生态环境。</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9</w:t>
      </w:r>
      <w:r>
        <w:rPr>
          <w:rFonts w:hint="default" w:ascii="仿宋" w:hAnsi="仿宋" w:eastAsia="仿宋" w:cs="仿宋_GB2312"/>
          <w:sz w:val="28"/>
          <w:szCs w:val="28"/>
        </w:rPr>
        <w:t>）协助和支持设置在本行政区域内不隶属于街道的国家机关和企事业单位工作，监督其遵守和执行国家的法律、法规和政策。</w:t>
      </w:r>
    </w:p>
    <w:p>
      <w:pPr>
        <w:pStyle w:val="10"/>
        <w:widowControl/>
        <w:spacing w:line="435" w:lineRule="atLeast"/>
        <w:ind w:left="420" w:firstLine="135"/>
        <w:rPr>
          <w:rFonts w:hint="default" w:ascii="仿宋" w:hAnsi="仿宋" w:eastAsia="仿宋"/>
          <w:sz w:val="28"/>
          <w:szCs w:val="28"/>
        </w:rPr>
      </w:pPr>
      <w:r>
        <w:rPr>
          <w:rFonts w:hint="default" w:ascii="仿宋" w:hAnsi="仿宋" w:eastAsia="仿宋" w:cs="仿宋_GB2312"/>
          <w:sz w:val="28"/>
          <w:szCs w:val="28"/>
        </w:rPr>
        <w:t>（</w:t>
      </w:r>
      <w:r>
        <w:rPr>
          <w:rFonts w:hint="default" w:ascii="仿宋" w:hAnsi="仿宋" w:eastAsia="仿宋"/>
          <w:sz w:val="28"/>
          <w:szCs w:val="28"/>
        </w:rPr>
        <w:t>10</w:t>
      </w:r>
      <w:r>
        <w:rPr>
          <w:rFonts w:hint="default" w:ascii="仿宋" w:hAnsi="仿宋" w:eastAsia="仿宋" w:cs="仿宋_GB2312"/>
          <w:sz w:val="28"/>
          <w:szCs w:val="28"/>
        </w:rPr>
        <w:t>）承办市人民政府交办的其</w:t>
      </w:r>
      <w:r>
        <w:rPr>
          <w:rFonts w:ascii="仿宋" w:hAnsi="仿宋" w:eastAsia="仿宋" w:cs="仿宋_GB2312"/>
          <w:sz w:val="28"/>
          <w:szCs w:val="28"/>
        </w:rPr>
        <w:t>他</w:t>
      </w:r>
      <w:r>
        <w:rPr>
          <w:rFonts w:hint="default" w:ascii="仿宋" w:hAnsi="仿宋" w:eastAsia="仿宋" w:cs="仿宋_GB2312"/>
          <w:sz w:val="28"/>
          <w:szCs w:val="28"/>
        </w:rPr>
        <w:t>事项。</w:t>
      </w:r>
    </w:p>
    <w:p>
      <w:pPr>
        <w:pStyle w:val="10"/>
        <w:widowControl/>
        <w:spacing w:line="435" w:lineRule="atLeast"/>
        <w:ind w:firstLine="555"/>
        <w:rPr>
          <w:rFonts w:hint="default" w:ascii="仿宋" w:hAnsi="仿宋" w:eastAsia="仿宋"/>
          <w:sz w:val="28"/>
          <w:szCs w:val="28"/>
        </w:rPr>
      </w:pPr>
      <w:r>
        <w:rPr>
          <w:rStyle w:val="14"/>
          <w:rFonts w:hint="default" w:ascii="仿宋" w:hAnsi="仿宋" w:eastAsia="仿宋"/>
          <w:b w:val="0"/>
          <w:sz w:val="28"/>
          <w:szCs w:val="28"/>
        </w:rPr>
        <w:t>2</w:t>
      </w:r>
      <w:r>
        <w:rPr>
          <w:rStyle w:val="14"/>
          <w:rFonts w:hint="default" w:ascii="仿宋" w:hAnsi="仿宋" w:eastAsia="仿宋" w:cs="仿宋_GB2312"/>
          <w:b w:val="0"/>
          <w:sz w:val="28"/>
          <w:szCs w:val="28"/>
        </w:rPr>
        <w:t>．组织机构，人员编制：</w:t>
      </w:r>
    </w:p>
    <w:p>
      <w:pPr>
        <w:pStyle w:val="6"/>
        <w:ind w:firstLine="560" w:firstLineChars="200"/>
        <w:rPr>
          <w:rFonts w:ascii="仿宋" w:hAnsi="仿宋" w:eastAsia="仿宋" w:cs="宋体"/>
          <w:sz w:val="28"/>
          <w:szCs w:val="28"/>
        </w:rPr>
      </w:pPr>
      <w:r>
        <w:rPr>
          <w:rFonts w:ascii="仿宋" w:hAnsi="仿宋" w:eastAsia="仿宋" w:cs="仿宋_GB2312"/>
          <w:sz w:val="28"/>
          <w:szCs w:val="28"/>
        </w:rPr>
        <w:t>（</w:t>
      </w:r>
      <w:r>
        <w:rPr>
          <w:rFonts w:ascii="仿宋" w:hAnsi="仿宋" w:eastAsia="仿宋" w:cs="Times New Roman"/>
          <w:sz w:val="28"/>
          <w:szCs w:val="28"/>
        </w:rPr>
        <w:t>1</w:t>
      </w:r>
      <w:r>
        <w:rPr>
          <w:rFonts w:ascii="仿宋" w:hAnsi="仿宋" w:eastAsia="仿宋" w:cs="仿宋_GB2312"/>
          <w:sz w:val="28"/>
          <w:szCs w:val="28"/>
        </w:rPr>
        <w:t>）</w:t>
      </w:r>
      <w:r>
        <w:rPr>
          <w:rFonts w:hint="eastAsia" w:ascii="仿宋" w:hAnsi="仿宋" w:eastAsia="仿宋"/>
          <w:sz w:val="28"/>
          <w:szCs w:val="28"/>
        </w:rPr>
        <w:t>宁乡市夏铎铺</w:t>
      </w:r>
      <w:r>
        <w:rPr>
          <w:rFonts w:hint="eastAsia" w:ascii="仿宋" w:hAnsi="仿宋" w:eastAsia="仿宋" w:cs="Times New Roman"/>
          <w:sz w:val="28"/>
          <w:szCs w:val="28"/>
        </w:rPr>
        <w:t>镇人民政府部门共设三中心一所一机关一执法队</w:t>
      </w:r>
      <w:r>
        <w:rPr>
          <w:rFonts w:hint="eastAsia" w:ascii="仿宋" w:hAnsi="仿宋" w:eastAsia="仿宋" w:cs="宋体"/>
          <w:sz w:val="28"/>
          <w:szCs w:val="28"/>
        </w:rPr>
        <w:t>。</w:t>
      </w:r>
      <w:r>
        <w:rPr>
          <w:rFonts w:hint="eastAsia" w:ascii="仿宋" w:hAnsi="仿宋" w:eastAsia="仿宋" w:cs="Times New Roman"/>
          <w:sz w:val="28"/>
          <w:szCs w:val="28"/>
        </w:rPr>
        <w:t>具体职能职责如下</w:t>
      </w:r>
      <w:r>
        <w:rPr>
          <w:rFonts w:hint="eastAsia" w:ascii="仿宋" w:hAnsi="仿宋" w:eastAsia="仿宋" w:cs="宋体"/>
          <w:sz w:val="28"/>
          <w:szCs w:val="28"/>
        </w:rPr>
        <w:t>：</w:t>
      </w:r>
    </w:p>
    <w:p>
      <w:pPr>
        <w:pStyle w:val="6"/>
        <w:ind w:firstLine="280" w:firstLineChars="100"/>
        <w:rPr>
          <w:rFonts w:ascii="仿宋" w:hAnsi="仿宋" w:eastAsia="仿宋" w:cs="Times New Roman"/>
          <w:sz w:val="28"/>
          <w:szCs w:val="28"/>
        </w:rPr>
      </w:pPr>
      <w:r>
        <w:rPr>
          <w:rFonts w:hint="eastAsia" w:ascii="仿宋" w:hAnsi="仿宋" w:eastAsia="仿宋"/>
          <w:bCs/>
          <w:kern w:val="0"/>
          <w:sz w:val="28"/>
          <w:szCs w:val="28"/>
        </w:rPr>
        <w:t>（一）</w:t>
      </w:r>
      <w:r>
        <w:rPr>
          <w:rFonts w:hint="eastAsia" w:ascii="仿宋" w:hAnsi="仿宋" w:eastAsia="仿宋" w:cs="Times New Roman"/>
          <w:sz w:val="28"/>
          <w:szCs w:val="28"/>
        </w:rPr>
        <w:t>夏铎铺镇社会事务综合服务中心。主要承担民政事务、社保保障、生殖健康宣传、咨询、检查和提供计划生育技术指导服务、</w:t>
      </w:r>
    </w:p>
    <w:p>
      <w:pPr>
        <w:pStyle w:val="6"/>
        <w:rPr>
          <w:rFonts w:ascii="仿宋" w:hAnsi="仿宋" w:eastAsia="仿宋" w:cs="Times New Roman"/>
          <w:sz w:val="28"/>
          <w:szCs w:val="28"/>
        </w:rPr>
      </w:pPr>
      <w:r>
        <w:rPr>
          <w:rFonts w:hint="eastAsia" w:ascii="仿宋" w:hAnsi="仿宋" w:eastAsia="仿宋" w:cs="Times New Roman"/>
          <w:sz w:val="28"/>
          <w:szCs w:val="28"/>
        </w:rPr>
        <w:t>乡村规划、环保、建设、城管等管理和执法职责。</w:t>
      </w:r>
    </w:p>
    <w:p>
      <w:pPr>
        <w:pStyle w:val="6"/>
        <w:rPr>
          <w:rFonts w:ascii="仿宋" w:hAnsi="仿宋" w:eastAsia="仿宋" w:cs="Times New Roman"/>
          <w:sz w:val="28"/>
          <w:szCs w:val="28"/>
        </w:rPr>
      </w:pPr>
      <w:r>
        <w:rPr>
          <w:rFonts w:hint="eastAsia" w:ascii="仿宋" w:hAnsi="仿宋" w:eastAsia="仿宋" w:cs="Times New Roman"/>
          <w:sz w:val="28"/>
          <w:szCs w:val="28"/>
        </w:rPr>
        <w:t>　</w:t>
      </w:r>
      <w:r>
        <w:rPr>
          <w:rFonts w:hint="eastAsia" w:ascii="仿宋" w:hAnsi="仿宋" w:eastAsia="仿宋"/>
          <w:bCs/>
          <w:kern w:val="0"/>
          <w:sz w:val="28"/>
          <w:szCs w:val="28"/>
        </w:rPr>
        <w:t>（二）</w:t>
      </w:r>
      <w:r>
        <w:rPr>
          <w:rFonts w:hint="eastAsia" w:ascii="仿宋" w:hAnsi="仿宋" w:eastAsia="仿宋" w:cs="Times New Roman"/>
          <w:sz w:val="28"/>
          <w:szCs w:val="28"/>
        </w:rPr>
        <w:t>夏铎铺镇农业综合服务中心。主要承担农林水等产业新技术、新品种的示范、推广；动植物防疫检疫、病虫害及疫情的检测、预报、防治和处理；畜禽与畜禽产品检疫、检验；森林资源管理、护林防火；水资源管理、防汛抗旱、农田水利建设；农业机械管理；农产品质量安全监测等职责。</w:t>
      </w:r>
    </w:p>
    <w:p>
      <w:pPr>
        <w:pStyle w:val="6"/>
        <w:rPr>
          <w:rFonts w:ascii="仿宋" w:hAnsi="仿宋" w:eastAsia="仿宋" w:cs="Times New Roman"/>
          <w:sz w:val="28"/>
          <w:szCs w:val="28"/>
        </w:rPr>
      </w:pPr>
      <w:r>
        <w:rPr>
          <w:rFonts w:hint="eastAsia" w:ascii="仿宋" w:hAnsi="仿宋" w:eastAsia="仿宋" w:cs="Times New Roman"/>
          <w:sz w:val="28"/>
          <w:szCs w:val="28"/>
        </w:rPr>
        <w:t>　</w:t>
      </w:r>
      <w:r>
        <w:rPr>
          <w:rFonts w:hint="eastAsia" w:ascii="仿宋" w:hAnsi="仿宋" w:eastAsia="仿宋"/>
          <w:bCs/>
          <w:kern w:val="0"/>
          <w:sz w:val="28"/>
          <w:szCs w:val="28"/>
        </w:rPr>
        <w:t>（三）</w:t>
      </w:r>
      <w:r>
        <w:rPr>
          <w:rFonts w:hint="eastAsia" w:ascii="仿宋" w:hAnsi="仿宋" w:eastAsia="仿宋" w:cs="Times New Roman"/>
          <w:sz w:val="28"/>
          <w:szCs w:val="28"/>
        </w:rPr>
        <w:t>夏铎铺镇政务服务中心。主要承担文化宣传、广播影视、法制教育、文艺演出、群众体育、科技推广、科普培训、安全生产监管、食品安全监管等职责。</w:t>
      </w:r>
    </w:p>
    <w:p>
      <w:pPr>
        <w:pStyle w:val="6"/>
        <w:ind w:firstLine="140" w:firstLineChars="50"/>
        <w:rPr>
          <w:rFonts w:ascii="仿宋" w:hAnsi="仿宋" w:eastAsia="仿宋" w:cs="宋体"/>
          <w:sz w:val="28"/>
          <w:szCs w:val="28"/>
        </w:rPr>
      </w:pPr>
      <w:r>
        <w:rPr>
          <w:rFonts w:hint="eastAsia" w:ascii="仿宋" w:hAnsi="仿宋" w:eastAsia="仿宋"/>
          <w:bCs/>
          <w:kern w:val="0"/>
          <w:sz w:val="28"/>
          <w:szCs w:val="28"/>
        </w:rPr>
        <w:t>（四）</w:t>
      </w:r>
      <w:r>
        <w:rPr>
          <w:rFonts w:hint="eastAsia" w:ascii="仿宋" w:hAnsi="仿宋" w:eastAsia="仿宋" w:cs="宋体"/>
          <w:sz w:val="28"/>
          <w:szCs w:val="28"/>
        </w:rPr>
        <w:t>夏铎铺镇司法所。主要承担司法调处工作。</w:t>
      </w:r>
    </w:p>
    <w:p>
      <w:pPr>
        <w:pStyle w:val="6"/>
        <w:rPr>
          <w:rFonts w:ascii="仿宋" w:hAnsi="仿宋" w:eastAsia="仿宋" w:cs="宋体"/>
          <w:sz w:val="28"/>
          <w:szCs w:val="28"/>
        </w:rPr>
      </w:pPr>
      <w:r>
        <w:rPr>
          <w:rFonts w:hint="eastAsia" w:ascii="仿宋" w:hAnsi="仿宋" w:eastAsia="仿宋" w:cs="宋体"/>
          <w:sz w:val="28"/>
          <w:szCs w:val="28"/>
        </w:rPr>
        <w:t xml:space="preserve"> </w:t>
      </w:r>
      <w:r>
        <w:rPr>
          <w:rFonts w:hint="eastAsia" w:ascii="仿宋" w:hAnsi="仿宋" w:eastAsia="仿宋"/>
          <w:bCs/>
          <w:kern w:val="0"/>
          <w:sz w:val="28"/>
          <w:szCs w:val="28"/>
        </w:rPr>
        <w:t>（五）</w:t>
      </w:r>
      <w:r>
        <w:rPr>
          <w:rFonts w:hint="eastAsia" w:ascii="仿宋" w:hAnsi="仿宋" w:eastAsia="仿宋" w:cs="宋体"/>
          <w:sz w:val="28"/>
          <w:szCs w:val="28"/>
        </w:rPr>
        <w:t>夏铎铺镇综合执法大队。主要负责辖区内城管、综合治理等职责。</w:t>
      </w:r>
    </w:p>
    <w:p>
      <w:pPr>
        <w:pStyle w:val="6"/>
        <w:ind w:firstLine="140" w:firstLineChars="50"/>
        <w:rPr>
          <w:rFonts w:ascii="仿宋" w:hAnsi="仿宋" w:eastAsia="仿宋" w:cs="宋体"/>
          <w:sz w:val="28"/>
          <w:szCs w:val="28"/>
        </w:rPr>
      </w:pPr>
      <w:r>
        <w:rPr>
          <w:rFonts w:hint="eastAsia" w:ascii="仿宋" w:hAnsi="仿宋" w:eastAsia="仿宋"/>
          <w:bCs/>
          <w:kern w:val="0"/>
          <w:sz w:val="28"/>
          <w:szCs w:val="28"/>
        </w:rPr>
        <w:t>（六）</w:t>
      </w:r>
      <w:r>
        <w:rPr>
          <w:rFonts w:hint="eastAsia" w:ascii="仿宋" w:hAnsi="仿宋" w:eastAsia="仿宋" w:cs="宋体"/>
          <w:sz w:val="28"/>
          <w:szCs w:val="28"/>
        </w:rPr>
        <w:t>夏铎铺镇机关。承担全镇税收收缴，财政资金收入、调度、使用和监管、主管政府全面工作。</w:t>
      </w:r>
    </w:p>
    <w:p>
      <w:pPr>
        <w:ind w:firstLine="560" w:firstLineChars="200"/>
        <w:rPr>
          <w:rFonts w:ascii="仿宋" w:hAnsi="仿宋" w:eastAsia="仿宋"/>
          <w:sz w:val="28"/>
          <w:szCs w:val="28"/>
        </w:rPr>
      </w:pPr>
      <w:r>
        <w:rPr>
          <w:rFonts w:ascii="仿宋" w:hAnsi="仿宋" w:eastAsia="仿宋" w:cs="仿宋_GB2312"/>
          <w:sz w:val="28"/>
          <w:szCs w:val="28"/>
        </w:rPr>
        <w:t>（</w:t>
      </w:r>
      <w:r>
        <w:rPr>
          <w:rFonts w:ascii="仿宋" w:hAnsi="仿宋" w:eastAsia="仿宋" w:cs="Times New Roman"/>
          <w:sz w:val="28"/>
          <w:szCs w:val="28"/>
        </w:rPr>
        <w:t>2</w:t>
      </w:r>
      <w:r>
        <w:rPr>
          <w:rFonts w:ascii="仿宋" w:hAnsi="仿宋" w:eastAsia="仿宋" w:cs="仿宋_GB2312"/>
          <w:sz w:val="28"/>
          <w:szCs w:val="28"/>
        </w:rPr>
        <w:t>）</w:t>
      </w:r>
      <w:r>
        <w:rPr>
          <w:rFonts w:hint="eastAsia" w:ascii="仿宋" w:hAnsi="仿宋" w:eastAsia="仿宋"/>
          <w:sz w:val="28"/>
          <w:szCs w:val="28"/>
        </w:rPr>
        <w:t>夏铎铺镇位于宁乡县东大门，全镇有6个村民委员会，3个社区，镇域人口40897人。共有在职人员135人，其中政府机关45人（含财政所8人），司法所2人，社会事务综合服务中心23人，农业服务中心59人，政务服务中心6人，较上年增加7人，具体为机关增加1人（调入4人，部队安置1人，选调生1人，调出5人），社会事务服务中心增加5人（调入4人，安置1人），农业增加1人（部队安置3人，调出2人）。</w:t>
      </w:r>
    </w:p>
    <w:p>
      <w:pPr>
        <w:pStyle w:val="10"/>
        <w:widowControl/>
        <w:spacing w:line="435" w:lineRule="atLeast"/>
        <w:ind w:firstLine="540"/>
        <w:jc w:val="both"/>
        <w:rPr>
          <w:rFonts w:hint="default" w:ascii="仿宋" w:hAnsi="仿宋" w:eastAsia="仿宋"/>
          <w:sz w:val="28"/>
          <w:szCs w:val="28"/>
        </w:rPr>
      </w:pPr>
      <w:r>
        <w:rPr>
          <w:rStyle w:val="14"/>
          <w:rFonts w:hint="default" w:ascii="仿宋" w:hAnsi="仿宋" w:eastAsia="仿宋" w:cs="楷体_GB2312"/>
          <w:b w:val="0"/>
          <w:sz w:val="28"/>
          <w:szCs w:val="28"/>
        </w:rPr>
        <w:t>（二）部门整体支出规模、使用方向和主要内容、涉及范围等。</w:t>
      </w:r>
    </w:p>
    <w:p>
      <w:pPr>
        <w:pStyle w:val="10"/>
        <w:widowControl/>
        <w:spacing w:line="435" w:lineRule="atLeast"/>
        <w:ind w:firstLine="555"/>
        <w:rPr>
          <w:rFonts w:hint="default" w:ascii="仿宋" w:hAnsi="仿宋" w:eastAsia="仿宋"/>
          <w:sz w:val="28"/>
          <w:szCs w:val="28"/>
        </w:rPr>
      </w:pPr>
      <w:r>
        <w:rPr>
          <w:rFonts w:hint="default" w:ascii="仿宋" w:hAnsi="仿宋" w:eastAsia="仿宋"/>
          <w:sz w:val="28"/>
          <w:szCs w:val="28"/>
        </w:rPr>
        <w:t>2020</w:t>
      </w:r>
      <w:r>
        <w:rPr>
          <w:rFonts w:hint="default" w:ascii="仿宋" w:hAnsi="仿宋" w:eastAsia="仿宋" w:cs="仿宋_GB2312"/>
          <w:sz w:val="28"/>
          <w:szCs w:val="28"/>
        </w:rPr>
        <w:t>年部门决算部门决算总支出</w:t>
      </w:r>
      <w:r>
        <w:rPr>
          <w:rFonts w:ascii="仿宋" w:hAnsi="仿宋" w:eastAsia="仿宋"/>
          <w:sz w:val="28"/>
          <w:szCs w:val="28"/>
        </w:rPr>
        <w:t>11334.78</w:t>
      </w:r>
      <w:r>
        <w:rPr>
          <w:rFonts w:hint="default" w:ascii="仿宋" w:hAnsi="仿宋" w:eastAsia="仿宋" w:cs="仿宋_GB2312"/>
          <w:sz w:val="28"/>
          <w:szCs w:val="28"/>
        </w:rPr>
        <w:t>万元，其中按支出性质和经济分类：一般公共服务支出</w:t>
      </w:r>
      <w:r>
        <w:rPr>
          <w:rFonts w:ascii="仿宋" w:hAnsi="仿宋" w:eastAsia="仿宋"/>
          <w:sz w:val="28"/>
          <w:szCs w:val="28"/>
        </w:rPr>
        <w:t>5070.23</w:t>
      </w:r>
      <w:r>
        <w:rPr>
          <w:rFonts w:hint="default" w:ascii="仿宋" w:hAnsi="仿宋" w:eastAsia="仿宋" w:cs="仿宋_GB2312"/>
          <w:sz w:val="28"/>
          <w:szCs w:val="28"/>
        </w:rPr>
        <w:t>万元、公共安全支出</w:t>
      </w:r>
      <w:r>
        <w:rPr>
          <w:rFonts w:ascii="仿宋" w:hAnsi="仿宋" w:eastAsia="仿宋"/>
          <w:sz w:val="28"/>
          <w:szCs w:val="28"/>
        </w:rPr>
        <w:t>38.95</w:t>
      </w:r>
      <w:r>
        <w:rPr>
          <w:rFonts w:hint="default" w:ascii="仿宋" w:hAnsi="仿宋" w:eastAsia="仿宋" w:cs="仿宋_GB2312"/>
          <w:sz w:val="28"/>
          <w:szCs w:val="28"/>
        </w:rPr>
        <w:t>万元、教育支出</w:t>
      </w:r>
      <w:r>
        <w:rPr>
          <w:rFonts w:ascii="仿宋" w:hAnsi="仿宋" w:eastAsia="仿宋"/>
          <w:sz w:val="28"/>
          <w:szCs w:val="28"/>
        </w:rPr>
        <w:t>503.88</w:t>
      </w:r>
      <w:r>
        <w:rPr>
          <w:rFonts w:hint="default" w:ascii="仿宋" w:hAnsi="仿宋" w:eastAsia="仿宋" w:cs="仿宋_GB2312"/>
          <w:sz w:val="28"/>
          <w:szCs w:val="28"/>
        </w:rPr>
        <w:t>万元</w:t>
      </w:r>
      <w:r>
        <w:rPr>
          <w:rFonts w:ascii="仿宋" w:hAnsi="仿宋" w:eastAsia="仿宋" w:cs="仿宋_GB2312"/>
          <w:sz w:val="28"/>
          <w:szCs w:val="28"/>
        </w:rPr>
        <w:t>、科学技术支出2万元、</w:t>
      </w:r>
      <w:r>
        <w:rPr>
          <w:rFonts w:hint="default" w:ascii="仿宋" w:hAnsi="仿宋" w:eastAsia="仿宋" w:cs="仿宋_GB2312"/>
          <w:sz w:val="28"/>
          <w:szCs w:val="28"/>
        </w:rPr>
        <w:t>文化旅游体育与传媒支出</w:t>
      </w:r>
      <w:r>
        <w:rPr>
          <w:rFonts w:ascii="仿宋" w:hAnsi="仿宋" w:eastAsia="仿宋"/>
          <w:sz w:val="28"/>
          <w:szCs w:val="28"/>
        </w:rPr>
        <w:t>57.58</w:t>
      </w:r>
      <w:r>
        <w:rPr>
          <w:rFonts w:hint="default" w:ascii="仿宋" w:hAnsi="仿宋" w:eastAsia="仿宋" w:cs="仿宋_GB2312"/>
          <w:sz w:val="28"/>
          <w:szCs w:val="28"/>
        </w:rPr>
        <w:t>万元、社会保障和就业支出</w:t>
      </w:r>
      <w:r>
        <w:rPr>
          <w:rFonts w:ascii="仿宋" w:hAnsi="仿宋" w:eastAsia="仿宋"/>
          <w:sz w:val="28"/>
          <w:szCs w:val="28"/>
        </w:rPr>
        <w:t>674.99</w:t>
      </w:r>
      <w:r>
        <w:rPr>
          <w:rFonts w:hint="default" w:ascii="仿宋" w:hAnsi="仿宋" w:eastAsia="仿宋" w:cs="仿宋_GB2312"/>
          <w:sz w:val="28"/>
          <w:szCs w:val="28"/>
        </w:rPr>
        <w:t>万元、卫生健康支出</w:t>
      </w:r>
      <w:r>
        <w:rPr>
          <w:rFonts w:ascii="仿宋" w:hAnsi="仿宋" w:eastAsia="仿宋"/>
          <w:sz w:val="28"/>
          <w:szCs w:val="28"/>
        </w:rPr>
        <w:t>158.5</w:t>
      </w:r>
      <w:r>
        <w:rPr>
          <w:rFonts w:hint="default" w:ascii="仿宋" w:hAnsi="仿宋" w:eastAsia="仿宋" w:cs="仿宋_GB2312"/>
          <w:sz w:val="28"/>
          <w:szCs w:val="28"/>
        </w:rPr>
        <w:t>万元、节能环保支出</w:t>
      </w:r>
      <w:r>
        <w:rPr>
          <w:rFonts w:ascii="仿宋" w:hAnsi="仿宋" w:eastAsia="仿宋"/>
          <w:sz w:val="28"/>
          <w:szCs w:val="28"/>
        </w:rPr>
        <w:t>375.49</w:t>
      </w:r>
      <w:r>
        <w:rPr>
          <w:rFonts w:hint="default" w:ascii="仿宋" w:hAnsi="仿宋" w:eastAsia="仿宋" w:cs="仿宋_GB2312"/>
          <w:sz w:val="28"/>
          <w:szCs w:val="28"/>
        </w:rPr>
        <w:t>万元、城乡社区支出</w:t>
      </w:r>
      <w:r>
        <w:rPr>
          <w:rFonts w:ascii="仿宋" w:hAnsi="仿宋" w:eastAsia="仿宋"/>
          <w:sz w:val="28"/>
          <w:szCs w:val="28"/>
        </w:rPr>
        <w:t>1220.34</w:t>
      </w:r>
      <w:r>
        <w:rPr>
          <w:rFonts w:hint="default" w:ascii="仿宋" w:hAnsi="仿宋" w:eastAsia="仿宋" w:cs="仿宋_GB2312"/>
          <w:sz w:val="28"/>
          <w:szCs w:val="28"/>
        </w:rPr>
        <w:t>万元、农林水支出</w:t>
      </w:r>
      <w:r>
        <w:rPr>
          <w:rFonts w:ascii="仿宋" w:hAnsi="仿宋" w:eastAsia="仿宋"/>
          <w:sz w:val="28"/>
          <w:szCs w:val="28"/>
        </w:rPr>
        <w:t>2292.71</w:t>
      </w:r>
      <w:r>
        <w:rPr>
          <w:rFonts w:hint="default" w:ascii="仿宋" w:hAnsi="仿宋" w:eastAsia="仿宋" w:cs="仿宋_GB2312"/>
          <w:sz w:val="28"/>
          <w:szCs w:val="28"/>
        </w:rPr>
        <w:t>万元、交通运输支出</w:t>
      </w:r>
      <w:r>
        <w:rPr>
          <w:rFonts w:ascii="仿宋" w:hAnsi="仿宋" w:eastAsia="仿宋"/>
          <w:sz w:val="28"/>
          <w:szCs w:val="28"/>
        </w:rPr>
        <w:t>165.27</w:t>
      </w:r>
      <w:r>
        <w:rPr>
          <w:rFonts w:hint="default" w:ascii="仿宋" w:hAnsi="仿宋" w:eastAsia="仿宋" w:cs="仿宋_GB2312"/>
          <w:sz w:val="28"/>
          <w:szCs w:val="28"/>
        </w:rPr>
        <w:t>万元、资源勘探工业信息等支出</w:t>
      </w:r>
      <w:r>
        <w:rPr>
          <w:rFonts w:ascii="仿宋" w:hAnsi="仿宋" w:eastAsia="仿宋"/>
          <w:sz w:val="28"/>
          <w:szCs w:val="28"/>
        </w:rPr>
        <w:t>110.19</w:t>
      </w:r>
      <w:r>
        <w:rPr>
          <w:rFonts w:hint="default" w:ascii="仿宋" w:hAnsi="仿宋" w:eastAsia="仿宋" w:cs="仿宋_GB2312"/>
          <w:sz w:val="28"/>
          <w:szCs w:val="28"/>
        </w:rPr>
        <w:t>万元、</w:t>
      </w:r>
      <w:r>
        <w:rPr>
          <w:rFonts w:ascii="仿宋" w:hAnsi="仿宋" w:eastAsia="仿宋" w:cs="仿宋_GB2312"/>
          <w:sz w:val="28"/>
          <w:szCs w:val="28"/>
        </w:rPr>
        <w:t>商品服务业等支出1万元、</w:t>
      </w:r>
      <w:r>
        <w:rPr>
          <w:rFonts w:hint="default" w:ascii="仿宋" w:hAnsi="仿宋" w:eastAsia="仿宋" w:cs="仿宋_GB2312"/>
          <w:sz w:val="28"/>
          <w:szCs w:val="28"/>
        </w:rPr>
        <w:t>住房保障支出</w:t>
      </w:r>
      <w:r>
        <w:rPr>
          <w:rFonts w:ascii="仿宋" w:hAnsi="仿宋" w:eastAsia="仿宋"/>
          <w:sz w:val="28"/>
          <w:szCs w:val="28"/>
        </w:rPr>
        <w:t>552.75</w:t>
      </w:r>
      <w:r>
        <w:rPr>
          <w:rFonts w:hint="default" w:ascii="仿宋" w:hAnsi="仿宋" w:eastAsia="仿宋" w:cs="仿宋_GB2312"/>
          <w:sz w:val="28"/>
          <w:szCs w:val="28"/>
        </w:rPr>
        <w:t>万元、</w:t>
      </w:r>
      <w:r>
        <w:rPr>
          <w:rFonts w:ascii="仿宋" w:hAnsi="仿宋" w:eastAsia="仿宋" w:cs="仿宋_GB2312"/>
          <w:sz w:val="28"/>
          <w:szCs w:val="28"/>
        </w:rPr>
        <w:t>粮油物资储备等支出8万元、</w:t>
      </w:r>
      <w:r>
        <w:rPr>
          <w:rFonts w:hint="default" w:ascii="仿宋" w:hAnsi="仿宋" w:eastAsia="仿宋" w:cs="仿宋_GB2312"/>
          <w:sz w:val="28"/>
          <w:szCs w:val="28"/>
        </w:rPr>
        <w:t>灾害防治及应急管理支出</w:t>
      </w:r>
      <w:r>
        <w:rPr>
          <w:rFonts w:ascii="仿宋" w:hAnsi="仿宋" w:eastAsia="仿宋"/>
          <w:sz w:val="28"/>
          <w:szCs w:val="28"/>
        </w:rPr>
        <w:t>31.31</w:t>
      </w:r>
      <w:r>
        <w:rPr>
          <w:rFonts w:hint="default" w:ascii="仿宋" w:hAnsi="仿宋" w:eastAsia="仿宋" w:cs="仿宋_GB2312"/>
          <w:sz w:val="28"/>
          <w:szCs w:val="28"/>
        </w:rPr>
        <w:t>万元，其他支出</w:t>
      </w:r>
      <w:r>
        <w:rPr>
          <w:rFonts w:ascii="仿宋" w:hAnsi="仿宋" w:eastAsia="仿宋"/>
          <w:sz w:val="28"/>
          <w:szCs w:val="28"/>
        </w:rPr>
        <w:t>39</w:t>
      </w:r>
      <w:r>
        <w:rPr>
          <w:rFonts w:hint="default" w:ascii="仿宋" w:hAnsi="仿宋" w:eastAsia="仿宋" w:cs="仿宋_GB2312"/>
          <w:sz w:val="28"/>
          <w:szCs w:val="28"/>
        </w:rPr>
        <w:t>万元</w:t>
      </w:r>
      <w:r>
        <w:rPr>
          <w:rFonts w:ascii="仿宋" w:hAnsi="仿宋" w:eastAsia="仿宋" w:cs="仿宋_GB2312"/>
          <w:sz w:val="28"/>
          <w:szCs w:val="28"/>
        </w:rPr>
        <w:t>、</w:t>
      </w:r>
      <w:r>
        <w:rPr>
          <w:rFonts w:hint="default" w:ascii="仿宋" w:hAnsi="仿宋" w:eastAsia="仿宋" w:cs="仿宋_GB2312"/>
          <w:sz w:val="28"/>
          <w:szCs w:val="28"/>
        </w:rPr>
        <w:t>抗疫特别国债安排的支出</w:t>
      </w:r>
      <w:r>
        <w:rPr>
          <w:rFonts w:ascii="仿宋" w:hAnsi="仿宋" w:eastAsia="仿宋"/>
          <w:sz w:val="28"/>
          <w:szCs w:val="28"/>
        </w:rPr>
        <w:t>32.6</w:t>
      </w:r>
      <w:r>
        <w:rPr>
          <w:rFonts w:hint="default" w:ascii="仿宋" w:hAnsi="仿宋" w:eastAsia="仿宋" w:cs="仿宋_GB2312"/>
          <w:sz w:val="28"/>
          <w:szCs w:val="28"/>
        </w:rPr>
        <w:t>万元。整个</w:t>
      </w:r>
      <w:r>
        <w:rPr>
          <w:rFonts w:hint="default" w:ascii="仿宋" w:hAnsi="仿宋" w:eastAsia="仿宋"/>
          <w:sz w:val="28"/>
          <w:szCs w:val="28"/>
        </w:rPr>
        <w:t>2020</w:t>
      </w:r>
      <w:r>
        <w:rPr>
          <w:rFonts w:hint="default" w:ascii="仿宋" w:hAnsi="仿宋" w:eastAsia="仿宋" w:cs="仿宋_GB2312"/>
          <w:sz w:val="28"/>
          <w:szCs w:val="28"/>
        </w:rPr>
        <w:t>年收支平衡，可持续发展，财政无结余。</w:t>
      </w:r>
    </w:p>
    <w:p>
      <w:pPr>
        <w:pStyle w:val="10"/>
        <w:widowControl/>
        <w:spacing w:line="435" w:lineRule="atLeast"/>
        <w:ind w:firstLine="555"/>
        <w:rPr>
          <w:rFonts w:hint="default" w:ascii="仿宋" w:hAnsi="仿宋" w:eastAsia="仿宋"/>
          <w:sz w:val="28"/>
          <w:szCs w:val="28"/>
        </w:rPr>
      </w:pPr>
      <w:r>
        <w:rPr>
          <w:rFonts w:ascii="仿宋" w:hAnsi="仿宋" w:eastAsia="仿宋" w:cs="黑体"/>
          <w:sz w:val="28"/>
          <w:szCs w:val="28"/>
        </w:rPr>
        <w:t>二、部门整体支出管理及使用情况</w:t>
      </w:r>
    </w:p>
    <w:p>
      <w:pPr>
        <w:pStyle w:val="10"/>
        <w:widowControl/>
        <w:spacing w:line="435" w:lineRule="atLeast"/>
        <w:ind w:firstLine="555"/>
        <w:jc w:val="both"/>
        <w:rPr>
          <w:rFonts w:hint="default" w:ascii="仿宋" w:hAnsi="仿宋" w:eastAsia="仿宋"/>
          <w:sz w:val="28"/>
          <w:szCs w:val="28"/>
        </w:rPr>
      </w:pPr>
      <w:r>
        <w:rPr>
          <w:rStyle w:val="14"/>
          <w:rFonts w:hint="default" w:ascii="仿宋" w:hAnsi="仿宋" w:eastAsia="仿宋" w:cs="楷体_GB2312"/>
          <w:b w:val="0"/>
          <w:sz w:val="28"/>
          <w:szCs w:val="28"/>
        </w:rPr>
        <w:t>（一）基本支出</w:t>
      </w:r>
    </w:p>
    <w:p>
      <w:pPr>
        <w:pStyle w:val="10"/>
        <w:widowControl/>
        <w:spacing w:line="435" w:lineRule="atLeast"/>
        <w:ind w:firstLine="555"/>
        <w:jc w:val="both"/>
        <w:rPr>
          <w:rFonts w:hint="default" w:ascii="仿宋" w:hAnsi="仿宋" w:eastAsia="仿宋"/>
          <w:sz w:val="28"/>
          <w:szCs w:val="28"/>
        </w:rPr>
      </w:pPr>
      <w:r>
        <w:rPr>
          <w:rFonts w:hint="default" w:ascii="仿宋" w:hAnsi="仿宋" w:eastAsia="仿宋" w:cs="仿宋_GB2312"/>
          <w:sz w:val="28"/>
          <w:szCs w:val="28"/>
        </w:rPr>
        <w:t>是指为保障单位机构正常运转、完成</w:t>
      </w:r>
      <w:r>
        <w:rPr>
          <w:rFonts w:ascii="仿宋" w:hAnsi="仿宋" w:eastAsia="仿宋" w:cs="仿宋_GB2312"/>
          <w:sz w:val="28"/>
          <w:szCs w:val="28"/>
        </w:rPr>
        <w:t>日</w:t>
      </w:r>
      <w:r>
        <w:rPr>
          <w:rFonts w:hint="default" w:ascii="仿宋" w:hAnsi="仿宋" w:eastAsia="仿宋" w:cs="仿宋_GB2312"/>
          <w:sz w:val="28"/>
          <w:szCs w:val="28"/>
        </w:rPr>
        <w:t>常工作任务而发生的各项支出，包括用于基本工资、津贴补贴等人员经费以及办公费、印刷费、水电费、办公设备购置等日常公用经费。</w:t>
      </w:r>
      <w:r>
        <w:rPr>
          <w:rFonts w:hint="default" w:ascii="仿宋" w:hAnsi="仿宋" w:eastAsia="仿宋"/>
          <w:sz w:val="28"/>
          <w:szCs w:val="28"/>
        </w:rPr>
        <w:t>2020</w:t>
      </w:r>
      <w:r>
        <w:rPr>
          <w:rFonts w:hint="default" w:ascii="仿宋" w:hAnsi="仿宋" w:eastAsia="仿宋" w:cs="仿宋_GB2312"/>
          <w:sz w:val="28"/>
          <w:szCs w:val="28"/>
        </w:rPr>
        <w:t>年决算基本支出</w:t>
      </w:r>
      <w:r>
        <w:rPr>
          <w:rFonts w:ascii="仿宋" w:hAnsi="仿宋" w:eastAsia="仿宋"/>
          <w:sz w:val="28"/>
          <w:szCs w:val="28"/>
        </w:rPr>
        <w:t>2518.68</w:t>
      </w:r>
      <w:r>
        <w:rPr>
          <w:rFonts w:hint="default" w:ascii="仿宋" w:hAnsi="仿宋" w:eastAsia="仿宋" w:cs="仿宋_GB2312"/>
          <w:sz w:val="28"/>
          <w:szCs w:val="28"/>
        </w:rPr>
        <w:t>万元，其中，工资福利支出</w:t>
      </w:r>
      <w:r>
        <w:rPr>
          <w:rFonts w:ascii="仿宋" w:hAnsi="仿宋" w:eastAsia="仿宋"/>
          <w:sz w:val="28"/>
          <w:szCs w:val="28"/>
        </w:rPr>
        <w:t>2113.49</w:t>
      </w:r>
      <w:r>
        <w:rPr>
          <w:rFonts w:hint="default" w:ascii="仿宋" w:hAnsi="仿宋" w:eastAsia="仿宋" w:cs="仿宋_GB2312"/>
          <w:sz w:val="28"/>
          <w:szCs w:val="28"/>
        </w:rPr>
        <w:t>万元；商品和服务支出</w:t>
      </w:r>
      <w:r>
        <w:rPr>
          <w:rFonts w:ascii="仿宋" w:hAnsi="仿宋" w:eastAsia="仿宋"/>
          <w:sz w:val="28"/>
          <w:szCs w:val="28"/>
        </w:rPr>
        <w:t>300.71</w:t>
      </w:r>
      <w:r>
        <w:rPr>
          <w:rFonts w:hint="default" w:ascii="仿宋" w:hAnsi="仿宋" w:eastAsia="仿宋" w:cs="仿宋_GB2312"/>
          <w:sz w:val="28"/>
          <w:szCs w:val="28"/>
        </w:rPr>
        <w:t>万元；对个人和家庭的补助</w:t>
      </w:r>
      <w:r>
        <w:rPr>
          <w:rFonts w:ascii="仿宋" w:hAnsi="仿宋" w:eastAsia="仿宋"/>
          <w:sz w:val="28"/>
          <w:szCs w:val="28"/>
        </w:rPr>
        <w:t>96.44</w:t>
      </w:r>
      <w:r>
        <w:rPr>
          <w:rFonts w:hint="default" w:ascii="仿宋" w:hAnsi="仿宋" w:eastAsia="仿宋" w:cs="仿宋_GB2312"/>
          <w:sz w:val="28"/>
          <w:szCs w:val="28"/>
        </w:rPr>
        <w:t>万元；其他资本性支出</w:t>
      </w:r>
      <w:r>
        <w:rPr>
          <w:rFonts w:ascii="仿宋" w:hAnsi="仿宋" w:eastAsia="仿宋"/>
          <w:sz w:val="28"/>
          <w:szCs w:val="28"/>
        </w:rPr>
        <w:t>8.04</w:t>
      </w:r>
      <w:r>
        <w:rPr>
          <w:rFonts w:hint="default" w:ascii="仿宋" w:hAnsi="仿宋" w:eastAsia="仿宋" w:cs="仿宋_GB2312"/>
          <w:sz w:val="28"/>
          <w:szCs w:val="28"/>
        </w:rPr>
        <w:t>万元。</w:t>
      </w:r>
      <w:r>
        <w:rPr>
          <w:rFonts w:hint="default" w:ascii="仿宋" w:hAnsi="仿宋" w:eastAsia="仿宋"/>
          <w:color w:val="auto"/>
          <w:sz w:val="28"/>
          <w:szCs w:val="28"/>
        </w:rPr>
        <w:t>2020</w:t>
      </w:r>
      <w:r>
        <w:rPr>
          <w:rFonts w:hint="default" w:ascii="仿宋" w:hAnsi="仿宋" w:eastAsia="仿宋" w:cs="仿宋_GB2312"/>
          <w:color w:val="auto"/>
          <w:sz w:val="28"/>
          <w:szCs w:val="28"/>
        </w:rPr>
        <w:t>年“三公”经费决算数为</w:t>
      </w:r>
      <w:r>
        <w:rPr>
          <w:rFonts w:hint="eastAsia" w:ascii="仿宋" w:hAnsi="仿宋" w:eastAsia="仿宋" w:cs="仿宋_GB2312"/>
          <w:color w:val="auto"/>
          <w:sz w:val="28"/>
          <w:szCs w:val="28"/>
          <w:lang w:val="en-US" w:eastAsia="zh-CN"/>
        </w:rPr>
        <w:t>23.56</w:t>
      </w:r>
      <w:r>
        <w:rPr>
          <w:rFonts w:hint="default" w:ascii="仿宋" w:hAnsi="仿宋" w:eastAsia="仿宋" w:cs="仿宋_GB2312"/>
          <w:color w:val="auto"/>
          <w:sz w:val="28"/>
          <w:szCs w:val="28"/>
        </w:rPr>
        <w:t>万元，其中，公务接待费</w:t>
      </w:r>
      <w:r>
        <w:rPr>
          <w:rFonts w:ascii="仿宋" w:hAnsi="仿宋" w:eastAsia="仿宋" w:cs="仿宋_GB2312"/>
          <w:color w:val="auto"/>
          <w:sz w:val="28"/>
          <w:szCs w:val="28"/>
        </w:rPr>
        <w:t>19.16</w:t>
      </w:r>
      <w:r>
        <w:rPr>
          <w:rFonts w:hint="default" w:ascii="仿宋" w:hAnsi="仿宋" w:eastAsia="仿宋" w:cs="仿宋_GB2312"/>
          <w:color w:val="auto"/>
          <w:sz w:val="28"/>
          <w:szCs w:val="28"/>
        </w:rPr>
        <w:t>万元，公务用车购置及运行费</w:t>
      </w:r>
      <w:r>
        <w:rPr>
          <w:rFonts w:hint="eastAsia" w:ascii="仿宋" w:hAnsi="仿宋" w:eastAsia="仿宋"/>
          <w:color w:val="auto"/>
          <w:sz w:val="28"/>
          <w:szCs w:val="28"/>
          <w:lang w:val="en-US" w:eastAsia="zh-CN"/>
        </w:rPr>
        <w:t>4.49</w:t>
      </w:r>
      <w:r>
        <w:rPr>
          <w:rFonts w:hint="default" w:ascii="仿宋" w:hAnsi="仿宋" w:eastAsia="仿宋" w:cs="仿宋_GB2312"/>
          <w:color w:val="auto"/>
          <w:sz w:val="28"/>
          <w:szCs w:val="28"/>
        </w:rPr>
        <w:t>万元，因公出国（境）费</w:t>
      </w:r>
      <w:r>
        <w:rPr>
          <w:rFonts w:hint="default" w:ascii="仿宋" w:hAnsi="仿宋" w:eastAsia="仿宋"/>
          <w:color w:val="auto"/>
          <w:sz w:val="28"/>
          <w:szCs w:val="28"/>
        </w:rPr>
        <w:t>0</w:t>
      </w:r>
      <w:r>
        <w:rPr>
          <w:rFonts w:hint="default" w:ascii="仿宋" w:hAnsi="仿宋" w:eastAsia="仿宋" w:cs="仿宋_GB2312"/>
          <w:color w:val="auto"/>
          <w:sz w:val="28"/>
          <w:szCs w:val="28"/>
        </w:rPr>
        <w:t>万元。</w:t>
      </w:r>
      <w:r>
        <w:rPr>
          <w:rFonts w:hint="default" w:ascii="仿宋" w:hAnsi="仿宋" w:eastAsia="仿宋"/>
          <w:color w:val="auto"/>
          <w:sz w:val="28"/>
          <w:szCs w:val="28"/>
        </w:rPr>
        <w:t>2020</w:t>
      </w:r>
      <w:r>
        <w:rPr>
          <w:rFonts w:hint="default" w:ascii="仿宋" w:hAnsi="仿宋" w:eastAsia="仿宋" w:cs="仿宋_GB2312"/>
          <w:color w:val="auto"/>
          <w:sz w:val="28"/>
          <w:szCs w:val="28"/>
        </w:rPr>
        <w:t>年“三公”经费决算较</w:t>
      </w:r>
      <w:r>
        <w:rPr>
          <w:rFonts w:hint="default" w:ascii="仿宋" w:hAnsi="仿宋" w:eastAsia="仿宋"/>
          <w:color w:val="auto"/>
          <w:sz w:val="28"/>
          <w:szCs w:val="28"/>
        </w:rPr>
        <w:t>2019</w:t>
      </w:r>
      <w:r>
        <w:rPr>
          <w:rFonts w:hint="default" w:ascii="仿宋" w:hAnsi="仿宋" w:eastAsia="仿宋" w:cs="仿宋_GB2312"/>
          <w:color w:val="auto"/>
          <w:sz w:val="28"/>
          <w:szCs w:val="28"/>
        </w:rPr>
        <w:t>年减少</w:t>
      </w:r>
      <w:r>
        <w:rPr>
          <w:rFonts w:hint="eastAsia" w:ascii="仿宋" w:hAnsi="仿宋" w:eastAsia="仿宋"/>
          <w:color w:val="auto"/>
          <w:sz w:val="28"/>
          <w:szCs w:val="28"/>
          <w:lang w:val="en-US" w:eastAsia="zh-CN"/>
        </w:rPr>
        <w:t>3.28</w:t>
      </w:r>
      <w:r>
        <w:rPr>
          <w:rFonts w:hint="default" w:ascii="仿宋" w:hAnsi="仿宋" w:eastAsia="仿宋" w:cs="仿宋_GB2312"/>
          <w:color w:val="auto"/>
          <w:sz w:val="28"/>
          <w:szCs w:val="28"/>
        </w:rPr>
        <w:t>万元，主要是公务接待费用有所节减。</w:t>
      </w:r>
    </w:p>
    <w:p>
      <w:pPr>
        <w:pStyle w:val="10"/>
        <w:widowControl/>
        <w:spacing w:line="435" w:lineRule="atLeast"/>
        <w:ind w:firstLine="555"/>
        <w:jc w:val="both"/>
        <w:rPr>
          <w:rFonts w:hint="default" w:ascii="仿宋" w:hAnsi="仿宋" w:eastAsia="仿宋"/>
          <w:sz w:val="28"/>
          <w:szCs w:val="28"/>
        </w:rPr>
      </w:pPr>
      <w:r>
        <w:rPr>
          <w:rStyle w:val="14"/>
          <w:rFonts w:hint="default" w:ascii="仿宋" w:hAnsi="仿宋" w:eastAsia="仿宋" w:cs="楷体_GB2312"/>
          <w:b w:val="0"/>
          <w:sz w:val="28"/>
          <w:szCs w:val="28"/>
        </w:rPr>
        <w:t>（二）项目支出</w:t>
      </w:r>
    </w:p>
    <w:p>
      <w:pPr>
        <w:pStyle w:val="10"/>
        <w:widowControl/>
        <w:spacing w:line="435" w:lineRule="atLeast"/>
        <w:ind w:firstLine="555"/>
        <w:jc w:val="both"/>
        <w:rPr>
          <w:rFonts w:hint="default" w:ascii="仿宋" w:hAnsi="仿宋" w:eastAsia="仿宋"/>
          <w:sz w:val="28"/>
          <w:szCs w:val="28"/>
        </w:rPr>
      </w:pPr>
      <w:r>
        <w:rPr>
          <w:rFonts w:hint="default" w:ascii="仿宋" w:hAnsi="仿宋" w:eastAsia="仿宋" w:cs="仿宋_GB2312"/>
          <w:sz w:val="28"/>
          <w:szCs w:val="28"/>
        </w:rPr>
        <w:t>是指街道各部门为履行工作职能，完成工作任务，需要发生的经常事务性的项目支出和完成特定工作任务或事业发展目标而发生的项目支出(包括通过发改部门立项安排的项目支出)。</w:t>
      </w:r>
      <w:r>
        <w:rPr>
          <w:rFonts w:hint="default" w:ascii="仿宋" w:hAnsi="仿宋" w:eastAsia="仿宋"/>
          <w:sz w:val="28"/>
          <w:szCs w:val="28"/>
        </w:rPr>
        <w:t>2020</w:t>
      </w:r>
      <w:r>
        <w:rPr>
          <w:rFonts w:hint="default" w:ascii="仿宋" w:hAnsi="仿宋" w:eastAsia="仿宋" w:cs="仿宋_GB2312"/>
          <w:sz w:val="28"/>
          <w:szCs w:val="28"/>
        </w:rPr>
        <w:t>年决算项目支出</w:t>
      </w:r>
      <w:r>
        <w:rPr>
          <w:rFonts w:ascii="仿宋" w:hAnsi="仿宋" w:eastAsia="仿宋"/>
          <w:sz w:val="28"/>
          <w:szCs w:val="28"/>
        </w:rPr>
        <w:t>8816.1</w:t>
      </w:r>
      <w:r>
        <w:rPr>
          <w:rFonts w:hint="default" w:ascii="仿宋" w:hAnsi="仿宋" w:eastAsia="仿宋" w:cs="仿宋_GB2312"/>
          <w:sz w:val="28"/>
          <w:szCs w:val="28"/>
        </w:rPr>
        <w:t>万元，其中一般公共服务支出</w:t>
      </w:r>
      <w:r>
        <w:rPr>
          <w:rFonts w:ascii="仿宋" w:hAnsi="仿宋" w:eastAsia="仿宋"/>
          <w:sz w:val="28"/>
          <w:szCs w:val="28"/>
        </w:rPr>
        <w:t>3671.73</w:t>
      </w:r>
      <w:r>
        <w:rPr>
          <w:rFonts w:hint="default" w:ascii="仿宋" w:hAnsi="仿宋" w:eastAsia="仿宋" w:cs="仿宋_GB2312"/>
          <w:sz w:val="28"/>
          <w:szCs w:val="28"/>
        </w:rPr>
        <w:t>万元，主要是环境卫生整治及其他一般事务性项目支出；公共安全支出</w:t>
      </w:r>
      <w:r>
        <w:rPr>
          <w:rFonts w:ascii="仿宋" w:hAnsi="仿宋" w:eastAsia="仿宋"/>
          <w:sz w:val="28"/>
          <w:szCs w:val="28"/>
        </w:rPr>
        <w:t>13.78</w:t>
      </w:r>
      <w:r>
        <w:rPr>
          <w:rFonts w:hint="default" w:ascii="仿宋" w:hAnsi="仿宋" w:eastAsia="仿宋" w:cs="仿宋_GB2312"/>
          <w:sz w:val="28"/>
          <w:szCs w:val="28"/>
        </w:rPr>
        <w:t>万元，</w:t>
      </w:r>
      <w:r>
        <w:rPr>
          <w:rFonts w:ascii="仿宋" w:hAnsi="仿宋" w:eastAsia="仿宋" w:cs="仿宋_GB2312"/>
          <w:sz w:val="28"/>
          <w:szCs w:val="28"/>
        </w:rPr>
        <w:t>主要是综治维稳、禁毒等工作经费；</w:t>
      </w:r>
      <w:r>
        <w:rPr>
          <w:rFonts w:hint="default" w:ascii="仿宋" w:hAnsi="仿宋" w:eastAsia="仿宋" w:cs="仿宋_GB2312"/>
          <w:sz w:val="28"/>
          <w:szCs w:val="28"/>
        </w:rPr>
        <w:t>教育支出</w:t>
      </w:r>
      <w:r>
        <w:rPr>
          <w:rFonts w:ascii="仿宋" w:hAnsi="仿宋" w:eastAsia="仿宋"/>
          <w:sz w:val="28"/>
          <w:szCs w:val="28"/>
        </w:rPr>
        <w:t>503.88</w:t>
      </w:r>
      <w:r>
        <w:rPr>
          <w:rFonts w:hint="default" w:ascii="仿宋" w:hAnsi="仿宋" w:eastAsia="仿宋" w:cs="仿宋_GB2312"/>
          <w:sz w:val="28"/>
          <w:szCs w:val="28"/>
        </w:rPr>
        <w:t>万元，主要是学校建设投入；</w:t>
      </w:r>
      <w:r>
        <w:rPr>
          <w:rFonts w:ascii="仿宋" w:hAnsi="仿宋" w:eastAsia="仿宋" w:cs="仿宋_GB2312"/>
          <w:sz w:val="28"/>
          <w:szCs w:val="28"/>
        </w:rPr>
        <w:t>科学技术支出2万元，主要是科学技术普及基地经费；</w:t>
      </w:r>
      <w:r>
        <w:rPr>
          <w:rFonts w:hint="default" w:ascii="仿宋" w:hAnsi="仿宋" w:eastAsia="仿宋" w:cs="仿宋_GB2312"/>
          <w:sz w:val="28"/>
          <w:szCs w:val="28"/>
        </w:rPr>
        <w:t>文化体育与传媒支出</w:t>
      </w:r>
      <w:r>
        <w:rPr>
          <w:rFonts w:ascii="仿宋" w:hAnsi="仿宋" w:eastAsia="仿宋"/>
          <w:sz w:val="28"/>
          <w:szCs w:val="28"/>
        </w:rPr>
        <w:t>57.58</w:t>
      </w:r>
      <w:r>
        <w:rPr>
          <w:rFonts w:hint="default" w:ascii="仿宋" w:hAnsi="仿宋" w:eastAsia="仿宋" w:cs="仿宋_GB2312"/>
          <w:sz w:val="28"/>
          <w:szCs w:val="28"/>
        </w:rPr>
        <w:t>万元</w:t>
      </w:r>
      <w:r>
        <w:rPr>
          <w:rFonts w:ascii="仿宋" w:hAnsi="仿宋" w:eastAsia="仿宋" w:cs="仿宋_GB2312"/>
          <w:sz w:val="28"/>
          <w:szCs w:val="28"/>
        </w:rPr>
        <w:t>，主要是图书馆、文化馆及文物保护等经费</w:t>
      </w:r>
      <w:r>
        <w:rPr>
          <w:rFonts w:hint="default" w:ascii="仿宋" w:hAnsi="仿宋" w:eastAsia="仿宋" w:cs="仿宋_GB2312"/>
          <w:sz w:val="28"/>
          <w:szCs w:val="28"/>
        </w:rPr>
        <w:t>；社会保障和就业</w:t>
      </w:r>
      <w:r>
        <w:rPr>
          <w:rFonts w:ascii="仿宋" w:hAnsi="仿宋" w:eastAsia="仿宋"/>
          <w:sz w:val="28"/>
          <w:szCs w:val="28"/>
        </w:rPr>
        <w:t>262.33</w:t>
      </w:r>
      <w:r>
        <w:rPr>
          <w:rFonts w:hint="default" w:ascii="仿宋" w:hAnsi="仿宋" w:eastAsia="仿宋" w:cs="仿宋_GB2312"/>
          <w:sz w:val="28"/>
          <w:szCs w:val="28"/>
        </w:rPr>
        <w:t>万元，主要是死亡抚恤、临时救济、高龄补贴等；卫生健康支出</w:t>
      </w:r>
      <w:r>
        <w:rPr>
          <w:rFonts w:ascii="仿宋" w:hAnsi="仿宋" w:eastAsia="仿宋"/>
          <w:sz w:val="28"/>
          <w:szCs w:val="28"/>
        </w:rPr>
        <w:t>71.63</w:t>
      </w:r>
      <w:r>
        <w:rPr>
          <w:rFonts w:hint="default" w:ascii="仿宋" w:hAnsi="仿宋" w:eastAsia="仿宋" w:cs="仿宋_GB2312"/>
          <w:sz w:val="28"/>
          <w:szCs w:val="28"/>
        </w:rPr>
        <w:t>万元，主要是新冠肺炎防控支出、计划生育支出；节能环保支出</w:t>
      </w:r>
      <w:r>
        <w:rPr>
          <w:rFonts w:ascii="仿宋" w:hAnsi="仿宋" w:eastAsia="仿宋"/>
          <w:sz w:val="28"/>
          <w:szCs w:val="28"/>
        </w:rPr>
        <w:t>375.49</w:t>
      </w:r>
      <w:r>
        <w:rPr>
          <w:rFonts w:hint="default" w:ascii="仿宋" w:hAnsi="仿宋" w:eastAsia="仿宋" w:cs="仿宋_GB2312"/>
          <w:sz w:val="28"/>
          <w:szCs w:val="28"/>
        </w:rPr>
        <w:t>万元，主要是环境卫生整治、污水处理项目等；城乡社区支出</w:t>
      </w:r>
      <w:r>
        <w:rPr>
          <w:rFonts w:ascii="仿宋" w:hAnsi="仿宋" w:eastAsia="仿宋"/>
          <w:sz w:val="28"/>
          <w:szCs w:val="28"/>
        </w:rPr>
        <w:t>1220.34</w:t>
      </w:r>
      <w:r>
        <w:rPr>
          <w:rFonts w:hint="default" w:ascii="仿宋" w:hAnsi="仿宋" w:eastAsia="仿宋" w:cs="仿宋_GB2312"/>
          <w:sz w:val="28"/>
          <w:szCs w:val="28"/>
        </w:rPr>
        <w:t>万元，主要是社区建设</w:t>
      </w:r>
      <w:r>
        <w:rPr>
          <w:rFonts w:ascii="仿宋" w:hAnsi="仿宋" w:eastAsia="仿宋" w:cs="仿宋_GB2312"/>
          <w:sz w:val="28"/>
          <w:szCs w:val="28"/>
        </w:rPr>
        <w:t>、土地成本返还</w:t>
      </w:r>
      <w:r>
        <w:rPr>
          <w:rFonts w:hint="default" w:ascii="仿宋" w:hAnsi="仿宋" w:eastAsia="仿宋" w:cs="仿宋_GB2312"/>
          <w:sz w:val="28"/>
          <w:szCs w:val="28"/>
        </w:rPr>
        <w:t>等；农林水事务支出</w:t>
      </w:r>
      <w:r>
        <w:rPr>
          <w:rFonts w:ascii="仿宋" w:hAnsi="仿宋" w:eastAsia="仿宋"/>
          <w:sz w:val="28"/>
          <w:szCs w:val="28"/>
        </w:rPr>
        <w:t>1799.1</w:t>
      </w:r>
      <w:r>
        <w:rPr>
          <w:rFonts w:hint="default" w:ascii="仿宋" w:hAnsi="仿宋" w:eastAsia="仿宋" w:cs="仿宋_GB2312"/>
          <w:sz w:val="28"/>
          <w:szCs w:val="28"/>
        </w:rPr>
        <w:t>万元，主要是公路建设、水利建设、农村厕所改造、扶贫、村级一事一议项目及转移支付等；交通运输支出</w:t>
      </w:r>
      <w:r>
        <w:rPr>
          <w:rFonts w:ascii="仿宋" w:hAnsi="仿宋" w:eastAsia="仿宋"/>
          <w:sz w:val="28"/>
          <w:szCs w:val="28"/>
        </w:rPr>
        <w:t>165.27</w:t>
      </w:r>
      <w:r>
        <w:rPr>
          <w:rFonts w:hint="default" w:ascii="仿宋" w:hAnsi="仿宋" w:eastAsia="仿宋" w:cs="仿宋_GB2312"/>
          <w:sz w:val="28"/>
          <w:szCs w:val="28"/>
        </w:rPr>
        <w:t>万元，主要用于公路保洁及养护等项目；资源勘探工业信息等支出</w:t>
      </w:r>
      <w:r>
        <w:rPr>
          <w:rFonts w:hint="default" w:ascii="仿宋" w:hAnsi="仿宋" w:eastAsia="仿宋"/>
          <w:sz w:val="28"/>
          <w:szCs w:val="28"/>
        </w:rPr>
        <w:t>110</w:t>
      </w:r>
      <w:r>
        <w:rPr>
          <w:rFonts w:hint="default" w:ascii="仿宋" w:hAnsi="仿宋" w:eastAsia="仿宋" w:cs="仿宋_GB2312"/>
          <w:sz w:val="28"/>
          <w:szCs w:val="28"/>
        </w:rPr>
        <w:t>.</w:t>
      </w:r>
      <w:r>
        <w:rPr>
          <w:rFonts w:hint="default" w:ascii="仿宋" w:hAnsi="仿宋" w:eastAsia="仿宋"/>
          <w:sz w:val="28"/>
          <w:szCs w:val="28"/>
        </w:rPr>
        <w:t>19</w:t>
      </w:r>
      <w:r>
        <w:rPr>
          <w:rFonts w:hint="default" w:ascii="仿宋" w:hAnsi="仿宋" w:eastAsia="仿宋" w:cs="仿宋_GB2312"/>
          <w:sz w:val="28"/>
          <w:szCs w:val="28"/>
        </w:rPr>
        <w:t>万元，主要用于工业企业发展支出；</w:t>
      </w:r>
      <w:r>
        <w:rPr>
          <w:rFonts w:ascii="仿宋" w:hAnsi="仿宋" w:eastAsia="仿宋" w:cs="仿宋_GB2312"/>
          <w:sz w:val="28"/>
          <w:szCs w:val="28"/>
        </w:rPr>
        <w:t>商业服务业等支出1万元，主要是牲猪调出大县奖励；</w:t>
      </w:r>
      <w:r>
        <w:rPr>
          <w:rFonts w:hint="default" w:ascii="仿宋" w:hAnsi="仿宋" w:eastAsia="仿宋" w:cs="仿宋_GB2312"/>
          <w:sz w:val="28"/>
          <w:szCs w:val="28"/>
        </w:rPr>
        <w:t>住房保障支出</w:t>
      </w:r>
      <w:r>
        <w:rPr>
          <w:rFonts w:ascii="仿宋" w:hAnsi="仿宋" w:eastAsia="仿宋"/>
          <w:sz w:val="28"/>
          <w:szCs w:val="28"/>
        </w:rPr>
        <w:t>450.89</w:t>
      </w:r>
      <w:r>
        <w:rPr>
          <w:rFonts w:hint="default" w:ascii="仿宋" w:hAnsi="仿宋" w:eastAsia="仿宋" w:cs="仿宋_GB2312"/>
          <w:sz w:val="28"/>
          <w:szCs w:val="28"/>
        </w:rPr>
        <w:t>万</w:t>
      </w:r>
      <w:r>
        <w:rPr>
          <w:rFonts w:ascii="仿宋" w:hAnsi="仿宋" w:eastAsia="仿宋" w:cs="仿宋_GB2312"/>
          <w:sz w:val="28"/>
          <w:szCs w:val="28"/>
        </w:rPr>
        <w:t>元</w:t>
      </w:r>
      <w:r>
        <w:rPr>
          <w:rFonts w:hint="default" w:ascii="仿宋" w:hAnsi="仿宋" w:eastAsia="仿宋" w:cs="仿宋_GB2312"/>
          <w:sz w:val="28"/>
          <w:szCs w:val="28"/>
        </w:rPr>
        <w:t>，主要是棚户区改造、卫生院建设、社区幼儿园建设等；</w:t>
      </w:r>
      <w:r>
        <w:rPr>
          <w:rFonts w:ascii="仿宋" w:hAnsi="仿宋" w:eastAsia="仿宋" w:cs="仿宋_GB2312"/>
          <w:sz w:val="28"/>
          <w:szCs w:val="28"/>
        </w:rPr>
        <w:t>粮油物资储备支出8万元，主要用于早籼稻收购补贴；灾害防治及应急管理支出31.31万元，主要用于凤桥地质灾害治理工程；</w:t>
      </w:r>
      <w:r>
        <w:rPr>
          <w:rFonts w:hint="default" w:ascii="仿宋" w:hAnsi="仿宋" w:eastAsia="仿宋" w:cs="仿宋_GB2312"/>
          <w:sz w:val="28"/>
          <w:szCs w:val="28"/>
        </w:rPr>
        <w:t>其他支出</w:t>
      </w:r>
      <w:r>
        <w:rPr>
          <w:rFonts w:ascii="仿宋" w:hAnsi="仿宋" w:eastAsia="仿宋"/>
          <w:sz w:val="28"/>
          <w:szCs w:val="28"/>
        </w:rPr>
        <w:t>39</w:t>
      </w:r>
      <w:r>
        <w:rPr>
          <w:rFonts w:hint="default" w:ascii="仿宋" w:hAnsi="仿宋" w:eastAsia="仿宋" w:cs="仿宋_GB2312"/>
          <w:sz w:val="28"/>
          <w:szCs w:val="28"/>
        </w:rPr>
        <w:t>万元，主要用于</w:t>
      </w:r>
      <w:r>
        <w:rPr>
          <w:rFonts w:ascii="仿宋" w:hAnsi="仿宋" w:eastAsia="仿宋" w:cs="仿宋_GB2312"/>
          <w:sz w:val="28"/>
          <w:szCs w:val="28"/>
        </w:rPr>
        <w:t>福利彩票支出</w:t>
      </w:r>
      <w:r>
        <w:rPr>
          <w:rFonts w:hint="default" w:ascii="仿宋" w:hAnsi="仿宋" w:eastAsia="仿宋" w:cs="仿宋_GB2312"/>
          <w:sz w:val="28"/>
          <w:szCs w:val="28"/>
        </w:rPr>
        <w:t>等；抗疫特别国债安排的支出</w:t>
      </w:r>
      <w:r>
        <w:rPr>
          <w:rFonts w:ascii="仿宋" w:hAnsi="仿宋" w:eastAsia="仿宋"/>
          <w:sz w:val="28"/>
          <w:szCs w:val="28"/>
        </w:rPr>
        <w:t>32.6</w:t>
      </w:r>
      <w:r>
        <w:rPr>
          <w:rFonts w:hint="default" w:ascii="仿宋" w:hAnsi="仿宋" w:eastAsia="仿宋" w:cs="仿宋_GB2312"/>
          <w:sz w:val="28"/>
          <w:szCs w:val="28"/>
        </w:rPr>
        <w:t>万元，主要用于新冠肺炎疫情防疫工作。</w:t>
      </w:r>
    </w:p>
    <w:p>
      <w:pPr>
        <w:pStyle w:val="10"/>
        <w:widowControl/>
        <w:spacing w:line="435" w:lineRule="atLeast"/>
        <w:ind w:firstLine="555"/>
        <w:rPr>
          <w:rFonts w:hint="default" w:ascii="仿宋" w:hAnsi="仿宋" w:eastAsia="仿宋"/>
          <w:sz w:val="28"/>
          <w:szCs w:val="28"/>
        </w:rPr>
      </w:pPr>
      <w:r>
        <w:rPr>
          <w:rFonts w:ascii="仿宋" w:hAnsi="仿宋" w:eastAsia="仿宋" w:cs="黑体"/>
          <w:sz w:val="28"/>
          <w:szCs w:val="28"/>
        </w:rPr>
        <w:t>三、部门项目组织实施情况</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建立健全</w:t>
      </w:r>
      <w:r>
        <w:rPr>
          <w:rFonts w:ascii="仿宋" w:hAnsi="仿宋" w:eastAsia="仿宋" w:cs="仿宋_GB2312"/>
          <w:sz w:val="28"/>
          <w:szCs w:val="28"/>
        </w:rPr>
        <w:t>乡镇</w:t>
      </w:r>
      <w:r>
        <w:rPr>
          <w:rFonts w:hint="default" w:ascii="仿宋" w:hAnsi="仿宋" w:eastAsia="仿宋" w:cs="仿宋_GB2312"/>
          <w:sz w:val="28"/>
          <w:szCs w:val="28"/>
        </w:rPr>
        <w:t>、</w:t>
      </w:r>
      <w:r>
        <w:rPr>
          <w:rFonts w:ascii="仿宋" w:hAnsi="仿宋" w:eastAsia="仿宋" w:cs="仿宋_GB2312"/>
          <w:sz w:val="28"/>
          <w:szCs w:val="28"/>
        </w:rPr>
        <w:t>村（</w:t>
      </w:r>
      <w:r>
        <w:rPr>
          <w:rFonts w:hint="default" w:ascii="仿宋" w:hAnsi="仿宋" w:eastAsia="仿宋" w:cs="仿宋_GB2312"/>
          <w:sz w:val="28"/>
          <w:szCs w:val="28"/>
        </w:rPr>
        <w:t>社区</w:t>
      </w:r>
      <w:r>
        <w:rPr>
          <w:rFonts w:ascii="仿宋" w:hAnsi="仿宋" w:eastAsia="仿宋" w:cs="仿宋_GB2312"/>
          <w:sz w:val="28"/>
          <w:szCs w:val="28"/>
        </w:rPr>
        <w:t>）</w:t>
      </w:r>
      <w:r>
        <w:rPr>
          <w:rFonts w:hint="default" w:ascii="仿宋" w:hAnsi="仿宋" w:eastAsia="仿宋" w:cs="仿宋_GB2312"/>
          <w:sz w:val="28"/>
          <w:szCs w:val="28"/>
        </w:rPr>
        <w:t>财务制度，规范项目招投标管理流程，落实政府采购政策，加强项目抽查巡查力度，确保项目建设规范有序，社会效益及群众满意率达标。坚持保正常运转，保重点支出，保民生支出，保障</w:t>
      </w:r>
      <w:r>
        <w:rPr>
          <w:rFonts w:ascii="仿宋" w:hAnsi="仿宋" w:eastAsia="仿宋" w:cs="仿宋_GB2312"/>
          <w:sz w:val="28"/>
          <w:szCs w:val="28"/>
        </w:rPr>
        <w:t>镇、村</w:t>
      </w:r>
      <w:r>
        <w:rPr>
          <w:rFonts w:hint="default" w:ascii="仿宋" w:hAnsi="仿宋" w:eastAsia="仿宋" w:cs="仿宋_GB2312"/>
          <w:sz w:val="28"/>
          <w:szCs w:val="28"/>
        </w:rPr>
        <w:t>干部基本待遇稳步增长的工作原则，按月按季及时落实，全力确保社会大局稳定。财政支出继续向广大人民群众关心的民生问题和社区部门倾斜，较大幅度提高了财政支出用于社区基层设施建设、社区人居环境整治、社会保障、教育卫生事业。</w:t>
      </w:r>
      <w:r>
        <w:rPr>
          <w:rFonts w:ascii="仿宋" w:hAnsi="仿宋" w:eastAsia="仿宋" w:cs="仿宋_GB2312"/>
          <w:sz w:val="28"/>
          <w:szCs w:val="28"/>
        </w:rPr>
        <w:t>村</w:t>
      </w:r>
      <w:r>
        <w:rPr>
          <w:rFonts w:hint="default" w:ascii="仿宋" w:hAnsi="仿宋" w:eastAsia="仿宋" w:cs="仿宋_GB2312"/>
          <w:sz w:val="28"/>
          <w:szCs w:val="28"/>
        </w:rPr>
        <w:t>账务代理工作有条不紊，及时完成社区财务清理和互联网公开工作，增强社区财务的透明度。</w:t>
      </w:r>
    </w:p>
    <w:p>
      <w:pPr>
        <w:pStyle w:val="10"/>
        <w:widowControl/>
        <w:spacing w:line="435" w:lineRule="atLeast"/>
        <w:ind w:firstLine="555"/>
        <w:rPr>
          <w:rFonts w:hint="default" w:ascii="仿宋" w:hAnsi="仿宋" w:eastAsia="仿宋"/>
          <w:sz w:val="28"/>
          <w:szCs w:val="28"/>
        </w:rPr>
      </w:pPr>
      <w:r>
        <w:rPr>
          <w:rFonts w:ascii="仿宋" w:hAnsi="仿宋" w:eastAsia="仿宋" w:cs="黑体"/>
          <w:sz w:val="28"/>
          <w:szCs w:val="28"/>
        </w:rPr>
        <w:t>四、资产管理情况</w:t>
      </w:r>
    </w:p>
    <w:p>
      <w:pPr>
        <w:pStyle w:val="10"/>
        <w:widowControl/>
        <w:spacing w:line="435" w:lineRule="atLeast"/>
        <w:ind w:firstLine="555"/>
        <w:rPr>
          <w:rFonts w:hint="default" w:ascii="仿宋" w:hAnsi="仿宋" w:eastAsia="仿宋"/>
          <w:sz w:val="28"/>
          <w:szCs w:val="28"/>
        </w:rPr>
      </w:pPr>
      <w:r>
        <w:rPr>
          <w:rFonts w:hint="default" w:ascii="仿宋" w:hAnsi="仿宋" w:eastAsia="仿宋" w:cs="仿宋_GB2312"/>
          <w:sz w:val="28"/>
          <w:szCs w:val="28"/>
        </w:rPr>
        <w:t>本单位资产由街道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截至</w:t>
      </w:r>
      <w:r>
        <w:rPr>
          <w:rFonts w:hint="default" w:ascii="仿宋" w:hAnsi="仿宋" w:eastAsia="仿宋"/>
          <w:sz w:val="28"/>
          <w:szCs w:val="28"/>
        </w:rPr>
        <w:t>2020</w:t>
      </w:r>
      <w:r>
        <w:rPr>
          <w:rFonts w:hint="default" w:ascii="仿宋" w:hAnsi="仿宋" w:eastAsia="仿宋" w:cs="仿宋_GB2312"/>
          <w:sz w:val="28"/>
          <w:szCs w:val="28"/>
        </w:rPr>
        <w:t>年</w:t>
      </w:r>
      <w:r>
        <w:rPr>
          <w:rFonts w:hint="default" w:ascii="仿宋" w:hAnsi="仿宋" w:eastAsia="仿宋"/>
          <w:sz w:val="28"/>
          <w:szCs w:val="28"/>
        </w:rPr>
        <w:t>12</w:t>
      </w:r>
      <w:r>
        <w:rPr>
          <w:rFonts w:hint="default" w:ascii="仿宋" w:hAnsi="仿宋" w:eastAsia="仿宋" w:cs="仿宋_GB2312"/>
          <w:sz w:val="28"/>
          <w:szCs w:val="28"/>
        </w:rPr>
        <w:t>月</w:t>
      </w:r>
      <w:r>
        <w:rPr>
          <w:rFonts w:hint="default" w:ascii="仿宋" w:hAnsi="仿宋" w:eastAsia="仿宋"/>
          <w:sz w:val="28"/>
          <w:szCs w:val="28"/>
        </w:rPr>
        <w:t>31</w:t>
      </w:r>
      <w:r>
        <w:rPr>
          <w:rFonts w:hint="default" w:ascii="仿宋" w:hAnsi="仿宋" w:eastAsia="仿宋" w:cs="仿宋_GB2312"/>
          <w:sz w:val="28"/>
          <w:szCs w:val="28"/>
        </w:rPr>
        <w:t>日，本单位资产构成情况为流动资产</w:t>
      </w:r>
      <w:r>
        <w:rPr>
          <w:rFonts w:ascii="仿宋" w:hAnsi="仿宋" w:eastAsia="仿宋"/>
          <w:sz w:val="28"/>
          <w:szCs w:val="28"/>
        </w:rPr>
        <w:t>2981.87</w:t>
      </w:r>
      <w:r>
        <w:rPr>
          <w:rFonts w:hint="default" w:ascii="仿宋" w:hAnsi="仿宋" w:eastAsia="仿宋" w:cs="仿宋_GB2312"/>
          <w:sz w:val="28"/>
          <w:szCs w:val="28"/>
        </w:rPr>
        <w:t>元、固定资产</w:t>
      </w:r>
      <w:r>
        <w:rPr>
          <w:rFonts w:ascii="仿宋" w:hAnsi="仿宋" w:eastAsia="仿宋"/>
          <w:sz w:val="28"/>
          <w:szCs w:val="28"/>
        </w:rPr>
        <w:t>2920.85</w:t>
      </w:r>
      <w:r>
        <w:rPr>
          <w:rFonts w:hint="default" w:ascii="仿宋" w:hAnsi="仿宋" w:eastAsia="仿宋" w:cs="仿宋_GB2312"/>
          <w:sz w:val="28"/>
          <w:szCs w:val="28"/>
        </w:rPr>
        <w:t>万元、</w:t>
      </w:r>
      <w:r>
        <w:rPr>
          <w:rFonts w:ascii="仿宋" w:hAnsi="仿宋" w:eastAsia="仿宋" w:cs="仿宋_GB2312"/>
          <w:sz w:val="28"/>
          <w:szCs w:val="28"/>
        </w:rPr>
        <w:t>在建工程666.62万元、公共基础设施494.9万元、</w:t>
      </w:r>
      <w:r>
        <w:rPr>
          <w:rFonts w:hint="default" w:ascii="仿宋" w:hAnsi="仿宋" w:eastAsia="仿宋" w:cs="仿宋_GB2312"/>
          <w:sz w:val="28"/>
          <w:szCs w:val="28"/>
        </w:rPr>
        <w:t>无形资产</w:t>
      </w:r>
      <w:r>
        <w:rPr>
          <w:rFonts w:hint="default" w:ascii="仿宋" w:hAnsi="仿宋" w:eastAsia="仿宋"/>
          <w:sz w:val="28"/>
          <w:szCs w:val="28"/>
        </w:rPr>
        <w:t>0</w:t>
      </w:r>
      <w:r>
        <w:rPr>
          <w:rFonts w:hint="default" w:ascii="仿宋" w:hAnsi="仿宋" w:eastAsia="仿宋" w:cs="仿宋_GB2312"/>
          <w:sz w:val="28"/>
          <w:szCs w:val="28"/>
        </w:rPr>
        <w:t>元</w:t>
      </w:r>
      <w:r>
        <w:rPr>
          <w:rFonts w:ascii="仿宋" w:hAnsi="仿宋" w:eastAsia="仿宋" w:cs="仿宋_GB2312"/>
          <w:sz w:val="28"/>
          <w:szCs w:val="28"/>
        </w:rPr>
        <w:t>；</w:t>
      </w:r>
      <w:r>
        <w:rPr>
          <w:rFonts w:hint="default" w:ascii="仿宋" w:hAnsi="仿宋" w:eastAsia="仿宋" w:cs="仿宋_GB2312"/>
          <w:sz w:val="28"/>
          <w:szCs w:val="28"/>
        </w:rPr>
        <w:t>固定资产的具体构成情况为：</w:t>
      </w:r>
      <w:r>
        <w:rPr>
          <w:rFonts w:ascii="仿宋" w:hAnsi="仿宋" w:eastAsia="仿宋" w:cs="仿宋_GB2312"/>
          <w:sz w:val="28"/>
          <w:szCs w:val="28"/>
        </w:rPr>
        <w:t>土地房屋构筑物2696.78万元，</w:t>
      </w:r>
      <w:r>
        <w:rPr>
          <w:rFonts w:hint="default" w:ascii="仿宋" w:hAnsi="仿宋" w:eastAsia="仿宋" w:cs="仿宋_GB2312"/>
          <w:sz w:val="28"/>
          <w:szCs w:val="28"/>
        </w:rPr>
        <w:t xml:space="preserve"> 通用设备</w:t>
      </w:r>
      <w:r>
        <w:rPr>
          <w:rFonts w:ascii="仿宋" w:hAnsi="仿宋" w:eastAsia="仿宋"/>
          <w:sz w:val="28"/>
          <w:szCs w:val="28"/>
        </w:rPr>
        <w:t>157.95万元</w:t>
      </w:r>
      <w:r>
        <w:rPr>
          <w:rFonts w:hint="default" w:ascii="仿宋" w:hAnsi="仿宋" w:eastAsia="仿宋" w:cs="仿宋_GB2312"/>
          <w:sz w:val="28"/>
          <w:szCs w:val="28"/>
        </w:rPr>
        <w:t>，专用设备</w:t>
      </w:r>
      <w:r>
        <w:rPr>
          <w:rFonts w:ascii="仿宋" w:hAnsi="仿宋" w:eastAsia="仿宋"/>
          <w:sz w:val="28"/>
          <w:szCs w:val="28"/>
        </w:rPr>
        <w:t>17.01</w:t>
      </w:r>
      <w:r>
        <w:rPr>
          <w:rFonts w:hint="default" w:ascii="仿宋" w:hAnsi="仿宋" w:eastAsia="仿宋" w:cs="仿宋_GB2312"/>
          <w:sz w:val="28"/>
          <w:szCs w:val="28"/>
        </w:rPr>
        <w:t>万</w:t>
      </w:r>
      <w:r>
        <w:rPr>
          <w:rFonts w:ascii="仿宋" w:hAnsi="仿宋" w:eastAsia="仿宋" w:cs="仿宋_GB2312"/>
          <w:sz w:val="28"/>
          <w:szCs w:val="28"/>
        </w:rPr>
        <w:t>元</w:t>
      </w:r>
      <w:r>
        <w:rPr>
          <w:rFonts w:hint="default" w:ascii="仿宋" w:hAnsi="仿宋" w:eastAsia="仿宋" w:cs="仿宋_GB2312"/>
          <w:sz w:val="28"/>
          <w:szCs w:val="28"/>
        </w:rPr>
        <w:t>，家具用具装具及动植物</w:t>
      </w:r>
      <w:r>
        <w:rPr>
          <w:rFonts w:ascii="仿宋" w:hAnsi="仿宋" w:eastAsia="仿宋"/>
          <w:sz w:val="28"/>
          <w:szCs w:val="28"/>
        </w:rPr>
        <w:t>49.12</w:t>
      </w:r>
      <w:r>
        <w:rPr>
          <w:rFonts w:hint="default" w:ascii="仿宋" w:hAnsi="仿宋" w:eastAsia="仿宋" w:cs="仿宋_GB2312"/>
          <w:sz w:val="28"/>
          <w:szCs w:val="28"/>
        </w:rPr>
        <w:t>万元。</w:t>
      </w:r>
    </w:p>
    <w:p>
      <w:pPr>
        <w:pStyle w:val="10"/>
        <w:widowControl/>
        <w:spacing w:line="435" w:lineRule="atLeast"/>
        <w:ind w:firstLine="555"/>
        <w:rPr>
          <w:rFonts w:hint="default" w:ascii="仿宋" w:hAnsi="仿宋" w:eastAsia="仿宋"/>
          <w:sz w:val="28"/>
          <w:szCs w:val="28"/>
        </w:rPr>
      </w:pPr>
      <w:r>
        <w:rPr>
          <w:rFonts w:ascii="仿宋" w:hAnsi="仿宋" w:eastAsia="仿宋" w:cs="黑体"/>
          <w:sz w:val="28"/>
          <w:szCs w:val="28"/>
        </w:rPr>
        <w:t>五、部门整体支出绩效情况</w:t>
      </w:r>
    </w:p>
    <w:p>
      <w:pPr>
        <w:pStyle w:val="10"/>
        <w:widowControl/>
        <w:spacing w:line="435" w:lineRule="atLeast"/>
        <w:ind w:firstLine="555"/>
        <w:jc w:val="both"/>
        <w:rPr>
          <w:rFonts w:hint="default" w:ascii="仿宋" w:hAnsi="仿宋" w:eastAsia="仿宋"/>
          <w:sz w:val="28"/>
          <w:szCs w:val="28"/>
        </w:rPr>
      </w:pPr>
      <w:r>
        <w:rPr>
          <w:rStyle w:val="14"/>
          <w:rFonts w:hint="default" w:ascii="仿宋" w:hAnsi="仿宋" w:eastAsia="仿宋" w:cs="楷体_GB2312"/>
          <w:b w:val="0"/>
          <w:sz w:val="28"/>
          <w:szCs w:val="28"/>
        </w:rPr>
        <w:t>（一）产出指标完成情况 </w:t>
      </w:r>
    </w:p>
    <w:p>
      <w:pPr>
        <w:adjustRightInd w:val="0"/>
        <w:snapToGrid w:val="0"/>
        <w:spacing w:line="560" w:lineRule="exact"/>
        <w:ind w:firstLine="560" w:firstLineChars="200"/>
        <w:textAlignment w:val="baseline"/>
        <w:rPr>
          <w:rFonts w:ascii="仿宋" w:hAnsi="仿宋" w:eastAsia="仿宋" w:cs="仿宋_GB2312"/>
          <w:bCs/>
          <w:color w:val="000000" w:themeColor="text1"/>
          <w:sz w:val="28"/>
          <w:szCs w:val="28"/>
        </w:rPr>
      </w:pPr>
      <w:r>
        <w:rPr>
          <w:rFonts w:ascii="仿宋" w:hAnsi="仿宋" w:eastAsia="仿宋" w:cs="仿宋_GB2312"/>
          <w:sz w:val="28"/>
          <w:szCs w:val="28"/>
        </w:rPr>
        <w:t>财政拨款支出主要用于保障我镇机构正常运转、完成日常工作任务以及特定工作任务或事业发展目标而发生的项目支出相关工作。</w:t>
      </w:r>
      <w:r>
        <w:rPr>
          <w:rFonts w:ascii="仿宋" w:hAnsi="仿宋" w:eastAsia="仿宋" w:cs="仿宋_GB2312"/>
          <w:bCs/>
          <w:color w:val="000000" w:themeColor="text1"/>
          <w:sz w:val="28"/>
          <w:szCs w:val="28"/>
        </w:rPr>
        <w:t>我镇紧紧围绕“融城桥头堡、新城核心区、宁乡新客厅”这一主线，充分发挥独特区位优势，深入推进实力园区、新型城镇和美丽乡村三大建设，同时伴随境内及周边宁乡高新区、沩东新城、香山国家森林公园等载体单位的诸多项目入驻，使得夏铎铺镇成为了绿色、生态、协同发展的热土。我们坚持以党建引领，以“融入中心、服务大局，抓党建、促发展”的思路开展各项工作。</w:t>
      </w:r>
    </w:p>
    <w:p>
      <w:pPr>
        <w:adjustRightInd w:val="0"/>
        <w:snapToGrid w:val="0"/>
        <w:spacing w:line="560" w:lineRule="exact"/>
        <w:ind w:firstLine="560" w:firstLineChars="200"/>
        <w:textAlignment w:val="baseline"/>
        <w:rPr>
          <w:rFonts w:ascii="仿宋" w:hAnsi="仿宋" w:eastAsia="仿宋" w:cs="仿宋_GB2312"/>
          <w:bCs/>
          <w:color w:val="000000" w:themeColor="text1"/>
          <w:sz w:val="28"/>
          <w:szCs w:val="28"/>
        </w:rPr>
      </w:pPr>
      <w:r>
        <w:rPr>
          <w:rFonts w:ascii="仿宋" w:hAnsi="仿宋" w:eastAsia="仿宋" w:cs="仿宋_GB2312"/>
          <w:bCs/>
          <w:color w:val="000000" w:themeColor="text1"/>
          <w:kern w:val="0"/>
          <w:sz w:val="28"/>
          <w:szCs w:val="28"/>
        </w:rPr>
        <w:t>一是基层组织筑牢筑实。</w:t>
      </w:r>
      <w:r>
        <w:rPr>
          <w:rFonts w:ascii="仿宋" w:hAnsi="仿宋" w:eastAsia="仿宋" w:cs="仿宋_GB2312"/>
          <w:bCs/>
          <w:color w:val="000000" w:themeColor="text1"/>
          <w:sz w:val="28"/>
          <w:szCs w:val="28"/>
        </w:rPr>
        <w:t>镇工会获评湖南省“六好”工会称号；镇团委获评长沙市“雷锋号志愿者工作站”称号；镇妇联连续五年获宁乡市“三八红旗”集体荣誉称号；镇离退休总支获宁乡市“先进党总支”称号。扎实开展“五星”村（社区）党组织创建，夏铎铺社区、凤桥社区、长龙新村、龙福新村4个党总支被评为宁乡市五星村（社区）党组织；9个村（社区）所辖支部全部通过“五化”验收，香山新村离退休支部获评长沙市示范化“五化”党支部，5个网格党支部获评宁乡市示范化“五化”党支部；夏铎铺社区获评长沙市党员干部示范培训实践基地，龙福新村党总支荣获宁乡市新冠肺炎疫情防控表现突出基层党组织荣誉。</w:t>
      </w:r>
    </w:p>
    <w:p>
      <w:pPr>
        <w:adjustRightInd w:val="0"/>
        <w:snapToGrid w:val="0"/>
        <w:spacing w:line="560" w:lineRule="exact"/>
        <w:ind w:firstLine="560" w:firstLineChars="200"/>
        <w:textAlignment w:val="baseline"/>
        <w:rPr>
          <w:rFonts w:ascii="仿宋" w:hAnsi="仿宋" w:eastAsia="仿宋" w:cs="仿宋_GB2312"/>
          <w:bCs/>
          <w:color w:val="000000" w:themeColor="text1"/>
          <w:sz w:val="28"/>
          <w:szCs w:val="28"/>
        </w:rPr>
      </w:pPr>
      <w:r>
        <w:rPr>
          <w:rFonts w:ascii="仿宋" w:hAnsi="仿宋" w:eastAsia="仿宋" w:cs="仿宋_GB2312"/>
          <w:bCs/>
          <w:color w:val="000000" w:themeColor="text1"/>
          <w:kern w:val="0"/>
          <w:sz w:val="28"/>
          <w:szCs w:val="28"/>
        </w:rPr>
        <w:t>二是主题活动精彩纷呈</w:t>
      </w:r>
      <w:r>
        <w:rPr>
          <w:rFonts w:hint="eastAsia" w:ascii="仿宋" w:hAnsi="仿宋" w:eastAsia="仿宋" w:cs="仿宋_GB2312"/>
          <w:bCs/>
          <w:color w:val="000000" w:themeColor="text1"/>
          <w:kern w:val="0"/>
          <w:sz w:val="28"/>
          <w:szCs w:val="28"/>
        </w:rPr>
        <w:t>：</w:t>
      </w:r>
      <w:r>
        <w:rPr>
          <w:rFonts w:ascii="仿宋" w:hAnsi="仿宋" w:eastAsia="仿宋" w:cs="仿宋_GB2312"/>
          <w:bCs/>
          <w:color w:val="000000" w:themeColor="text1"/>
          <w:sz w:val="28"/>
          <w:szCs w:val="28"/>
        </w:rPr>
        <w:t>组织农村党员冬春训培训班16期6000余人次；开展农村党员教育“六个一”活动，得到“学习强国”平台、《长沙晚报》等媒体专题报道；天马新村石仑关通过‘四个一’党课教学，打造‘党建+’特色品牌，被列为中央红办“青年毛泽东游学路”红色基地、长沙市社科普及基地、宁乡市委党校现场教学点；结合疫情防控等工作，开展7期党员志愿服务“火把行动”，近万名党员和干部群众参与。</w:t>
      </w:r>
    </w:p>
    <w:p>
      <w:pPr>
        <w:adjustRightInd w:val="0"/>
        <w:snapToGrid w:val="0"/>
        <w:spacing w:line="560" w:lineRule="exact"/>
        <w:ind w:firstLine="560" w:firstLineChars="200"/>
        <w:textAlignment w:val="baseline"/>
        <w:rPr>
          <w:rFonts w:ascii="仿宋" w:hAnsi="仿宋" w:eastAsia="仿宋" w:cs="仿宋_GB2312"/>
          <w:bCs/>
          <w:color w:val="000000" w:themeColor="text1"/>
          <w:sz w:val="28"/>
          <w:szCs w:val="28"/>
        </w:rPr>
      </w:pPr>
      <w:r>
        <w:rPr>
          <w:rFonts w:ascii="仿宋" w:hAnsi="仿宋" w:eastAsia="仿宋" w:cs="仿宋_GB2312"/>
          <w:bCs/>
          <w:color w:val="000000" w:themeColor="text1"/>
          <w:kern w:val="0"/>
          <w:sz w:val="28"/>
          <w:szCs w:val="28"/>
        </w:rPr>
        <w:t>三是干部队伍调优配强。</w:t>
      </w:r>
      <w:r>
        <w:rPr>
          <w:rFonts w:ascii="仿宋" w:hAnsi="仿宋" w:eastAsia="仿宋" w:cs="仿宋_GB2312"/>
          <w:bCs/>
          <w:color w:val="000000" w:themeColor="text1"/>
          <w:sz w:val="28"/>
          <w:szCs w:val="28"/>
        </w:rPr>
        <w:t>强化机关中层干部管理，实行双向选择、竞聘上岗，新选任的中层干部设置试用期，真正实现“选优配强”；优化村级后备干部培养，五年来选拔培养村级后备干部24名，均能在新一届支村两委换届后迅速进入角色开展工作，培养并使用总支书记后备人选3名。严格组织程序，高标准完成两次村（社区）支村“两委”换届选举，新一届村（社区）两委班子，实现了年龄与学历的“两降一升一优化”，支部书记平均年龄46.7 岁，比上届下降4.3岁；支委平均年龄38.1岁，比上届下降6.8岁；支委大专及以上学历的46人，比上届提高23%，女性占比26%，性别结构更加优化，选出了一支年富力强、文化程度高、老中青混搭合理的“梯队型”村干部队伍。</w:t>
      </w:r>
    </w:p>
    <w:p>
      <w:pPr>
        <w:adjustRightInd w:val="0"/>
        <w:snapToGrid w:val="0"/>
        <w:spacing w:line="560" w:lineRule="exact"/>
        <w:ind w:firstLine="560" w:firstLineChars="200"/>
        <w:textAlignment w:val="baseline"/>
        <w:rPr>
          <w:rFonts w:ascii="仿宋" w:hAnsi="仿宋" w:eastAsia="仿宋" w:cs="仿宋_GB2312"/>
          <w:bCs/>
          <w:color w:val="000000" w:themeColor="text1"/>
          <w:sz w:val="28"/>
          <w:szCs w:val="28"/>
        </w:rPr>
      </w:pPr>
      <w:r>
        <w:rPr>
          <w:rFonts w:ascii="仿宋" w:hAnsi="仿宋" w:eastAsia="仿宋" w:cs="仿宋_GB2312"/>
          <w:bCs/>
          <w:color w:val="000000" w:themeColor="text1"/>
          <w:kern w:val="0"/>
          <w:sz w:val="28"/>
          <w:szCs w:val="28"/>
        </w:rPr>
        <w:t>四是作风建设持续向好。</w:t>
      </w:r>
      <w:r>
        <w:rPr>
          <w:rFonts w:ascii="仿宋" w:hAnsi="仿宋" w:eastAsia="仿宋" w:cs="仿宋_GB2312"/>
          <w:bCs/>
          <w:color w:val="000000" w:themeColor="text1"/>
          <w:sz w:val="28"/>
          <w:szCs w:val="28"/>
        </w:rPr>
        <w:t>镇党委坚决扛起管党治党政治责任，全面从严治党不断向纵深推进。严格落实主体责任，班子成员“一岗双责”履职尽责，纪委三转全部到位。注重教育预防，坚持以案释纪，强化纪律规矩意识。切实加强日常监督，严肃查处违纪行为，形成有力威慑。五年来，因违反党纪政纪和作风建设规定，党纪政纪处分57人次，组织处理17人次，党内政治生态气象更新，党风政风明显好转，提振了党员、干部、群众的精气神。</w:t>
      </w:r>
    </w:p>
    <w:p>
      <w:pPr>
        <w:pStyle w:val="10"/>
        <w:widowControl/>
        <w:spacing w:line="435" w:lineRule="atLeast"/>
        <w:ind w:firstLine="555"/>
        <w:jc w:val="both"/>
        <w:rPr>
          <w:rFonts w:hint="default" w:ascii="仿宋" w:hAnsi="仿宋" w:eastAsia="仿宋"/>
          <w:sz w:val="28"/>
          <w:szCs w:val="28"/>
        </w:rPr>
      </w:pPr>
      <w:r>
        <w:rPr>
          <w:rStyle w:val="14"/>
          <w:rFonts w:hint="default" w:ascii="仿宋" w:hAnsi="仿宋" w:eastAsia="仿宋" w:cs="楷体_GB2312"/>
          <w:b w:val="0"/>
          <w:sz w:val="28"/>
          <w:szCs w:val="28"/>
        </w:rPr>
        <w:t>（二）效益指标完成情况 </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一是社会经济势头良好。</w:t>
      </w:r>
      <w:r>
        <w:rPr>
          <w:rFonts w:ascii="仿宋" w:hAnsi="仿宋" w:eastAsia="仿宋" w:cs="仿宋_GB2312"/>
          <w:bCs/>
          <w:color w:val="000000" w:themeColor="text1"/>
          <w:sz w:val="28"/>
          <w:szCs w:val="28"/>
        </w:rPr>
        <w:t>2020年累计完成</w:t>
      </w:r>
      <w:r>
        <w:rPr>
          <w:rFonts w:ascii="仿宋" w:hAnsi="仿宋" w:eastAsia="仿宋" w:cs="仿宋_GB2312"/>
          <w:color w:val="000000" w:themeColor="text1"/>
          <w:sz w:val="28"/>
          <w:szCs w:val="28"/>
        </w:rPr>
        <w:t>规模以上工业产值20亿元，完成社会消费品零售总额4.69亿元；固定投资金额21亿元，完成工商税收1.24亿元，其中地方一般公共预算收入7680万元，连续五年迎来增长新局面，尤其是面对2020年疫情导致经济下行的压力，在打好疫情防控战的同时，主动出击，为企业提供新冠检测、疫情防控、用工用人等相关帮助，取得了圆满完成年初预期目标的良好成绩。</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二是服务项目不遗余力。</w:t>
      </w:r>
      <w:r>
        <w:rPr>
          <w:rFonts w:ascii="仿宋" w:hAnsi="仿宋" w:eastAsia="仿宋" w:cs="仿宋_GB2312"/>
          <w:color w:val="000000" w:themeColor="text1"/>
          <w:sz w:val="28"/>
          <w:szCs w:val="28"/>
        </w:rPr>
        <w:t>启动千万元以上项目30余个，完成风情小镇建设和官桥河提质改造，积极服务长沙方特·东方神画、金唐公路、华强大道、长沙卫职院、长沙幼儿师专、中邦陶粒、消防站等重大项目建设，近五年完成征地4277亩，腾地4168亩，拆迁房屋1263户。其中，宁乡500千伏变电站一天征地127亩、一个月腾地交付；时代阳光现代农业基地一天完成征地175亩，37户拆迁一日清零，被省市级媒体报道的“夏铎速度”屡屡刷新，为夏铎铺下一步发展打下更坚实的基础。</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三是乡村振兴释放活力。</w:t>
      </w:r>
      <w:r>
        <w:rPr>
          <w:rFonts w:ascii="仿宋" w:hAnsi="仿宋" w:eastAsia="仿宋" w:cs="仿宋_GB2312"/>
          <w:color w:val="000000" w:themeColor="text1"/>
          <w:sz w:val="28"/>
          <w:szCs w:val="28"/>
        </w:rPr>
        <w:t>重点打造石仑关，积极引入社会资本，开创“公司+村集体+农户”的乡村振兴新模式，被长沙市委办公厅《内情参考》提炼为“天马新村模式”，天马新村获评长沙市乡村振兴示范村。积极推进全域土地综合整治工作，成功争取自然资源部全域土地综合整治试点，协调成立夏铎铺镇全域土地综合整治指挥部，完成前期723户入户测量工作，制定《夏铎铺全域土地综合整治搬迁实施方案》，积极参与规划评审，全面推进试点工作。村级集体经济得到长足发展，2020年九个村（社区）村级集体经济收入总量达到了947.5万元，集体经济活力全面迸发。</w:t>
      </w:r>
    </w:p>
    <w:p>
      <w:pPr>
        <w:pStyle w:val="10"/>
        <w:widowControl/>
        <w:spacing w:line="435" w:lineRule="atLeast"/>
        <w:ind w:firstLine="555"/>
        <w:jc w:val="both"/>
        <w:rPr>
          <w:rFonts w:hint="default" w:ascii="仿宋" w:hAnsi="仿宋" w:eastAsia="仿宋"/>
          <w:sz w:val="28"/>
          <w:szCs w:val="28"/>
        </w:rPr>
      </w:pPr>
      <w:r>
        <w:rPr>
          <w:rFonts w:hint="default" w:ascii="仿宋" w:hAnsi="仿宋" w:eastAsia="仿宋" w:cs="仿宋_GB2312"/>
          <w:sz w:val="28"/>
          <w:szCs w:val="28"/>
        </w:rPr>
        <w:t>我</w:t>
      </w:r>
      <w:r>
        <w:rPr>
          <w:rFonts w:ascii="仿宋" w:hAnsi="仿宋" w:eastAsia="仿宋" w:cs="仿宋_GB2312"/>
          <w:sz w:val="28"/>
          <w:szCs w:val="28"/>
        </w:rPr>
        <w:t>镇</w:t>
      </w:r>
      <w:r>
        <w:rPr>
          <w:rFonts w:hint="default" w:ascii="仿宋" w:hAnsi="仿宋" w:eastAsia="仿宋" w:cs="仿宋_GB2312"/>
          <w:sz w:val="28"/>
          <w:szCs w:val="28"/>
        </w:rPr>
        <w:t>严格执行预算法，科学精细编制预算，重视预算编制基础工作，注重绩效管理，重点关注支出预算执行和政策目标落实情况，完善预算执行管理考核制度。规范财务流程，加强资金使用信息公开和公示制度建设，加强资金监管制度建设和执行，切实防范廉政风险，所有开支均按照财务管理制度执行，资金的使用严格把关，机关的日常工作运行得到保障。 </w:t>
      </w:r>
    </w:p>
    <w:p>
      <w:pPr>
        <w:pStyle w:val="10"/>
        <w:widowControl/>
        <w:spacing w:line="435" w:lineRule="atLeast"/>
        <w:ind w:firstLine="555"/>
        <w:jc w:val="both"/>
        <w:rPr>
          <w:rStyle w:val="14"/>
          <w:rFonts w:hint="default" w:ascii="仿宋" w:hAnsi="仿宋" w:eastAsia="仿宋" w:cs="楷体_GB2312"/>
          <w:b w:val="0"/>
          <w:sz w:val="28"/>
          <w:szCs w:val="28"/>
        </w:rPr>
      </w:pPr>
      <w:r>
        <w:rPr>
          <w:rStyle w:val="14"/>
          <w:rFonts w:hint="default" w:ascii="仿宋" w:hAnsi="仿宋" w:eastAsia="仿宋" w:cs="楷体_GB2312"/>
          <w:b w:val="0"/>
          <w:sz w:val="28"/>
          <w:szCs w:val="28"/>
        </w:rPr>
        <w:t>（三）满意度指标完成情况 </w:t>
      </w:r>
    </w:p>
    <w:p>
      <w:pPr>
        <w:adjustRightInd w:val="0"/>
        <w:snapToGrid w:val="0"/>
        <w:spacing w:line="560" w:lineRule="exact"/>
        <w:ind w:firstLine="560" w:firstLineChars="200"/>
        <w:textAlignment w:val="baseline"/>
        <w:rPr>
          <w:rFonts w:ascii="仿宋" w:hAnsi="仿宋" w:eastAsia="仿宋" w:cs="楷体"/>
          <w:color w:val="000000" w:themeColor="text1"/>
          <w:sz w:val="28"/>
          <w:szCs w:val="28"/>
        </w:rPr>
      </w:pPr>
      <w:r>
        <w:rPr>
          <w:rFonts w:ascii="仿宋" w:hAnsi="仿宋" w:eastAsia="仿宋" w:cs="Times New Roman"/>
          <w:sz w:val="28"/>
          <w:szCs w:val="28"/>
        </w:rPr>
        <w:t>2020</w:t>
      </w:r>
      <w:r>
        <w:rPr>
          <w:rFonts w:ascii="仿宋" w:hAnsi="仿宋" w:eastAsia="仿宋" w:cs="仿宋_GB2312"/>
          <w:sz w:val="28"/>
          <w:szCs w:val="28"/>
        </w:rPr>
        <w:t>年我镇较好的完成了绩效目标任务，日常管理工作均按照我单位相关管理制度执行，建立了工作有计划、实施有方案、日常有监督的管理机制，工作取得了较好的成效，效能得到了提高、获得了社会公众的好评。全面贯彻落实以人民为中心思想，把群众关切的衣食住行、安居乐业等民生事项一件一件放在心上、落在实处，全面提升居民群众生活品质。</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一是精准扶贫成效显著。</w:t>
      </w:r>
      <w:r>
        <w:rPr>
          <w:rFonts w:ascii="仿宋" w:hAnsi="仿宋" w:eastAsia="仿宋" w:cs="仿宋_GB2312"/>
          <w:color w:val="000000" w:themeColor="text1"/>
          <w:sz w:val="28"/>
          <w:szCs w:val="28"/>
        </w:rPr>
        <w:t>截至2020年，累计投入扶贫资金1500余万元，全镇475户1075人全部达到“两不愁三保障一达标”标准，实现脱贫摘帽。派驻驻村工作队9个27人，大力发展“四跟四走”产业，组织开展贫困户产业技术培训，鼓励贫困户自主发展产业。</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二是民生实事持续深化。</w:t>
      </w:r>
      <w:r>
        <w:rPr>
          <w:rFonts w:hint="eastAsia" w:ascii="仿宋" w:hAnsi="仿宋" w:eastAsia="仿宋" w:cs="仿宋_GB2312"/>
          <w:bCs/>
          <w:color w:val="000000" w:themeColor="text1"/>
          <w:kern w:val="0"/>
          <w:sz w:val="28"/>
          <w:szCs w:val="28"/>
        </w:rPr>
        <w:t>近</w:t>
      </w:r>
      <w:r>
        <w:rPr>
          <w:rFonts w:ascii="仿宋" w:hAnsi="仿宋" w:eastAsia="仿宋" w:cs="仿宋_GB2312"/>
          <w:color w:val="000000" w:themeColor="text1"/>
          <w:sz w:val="28"/>
          <w:szCs w:val="28"/>
        </w:rPr>
        <w:t>5年来，投入近4000万元用于学校基础设施建设，办学条件大幅改善，教育环境进一步优化，教学质量显著提升，综合排名从全市倒数第三提升到第六名。镇卫生院与长沙市第四医院建成“医联体”，与宁乡市人民医院、中医院、联勤保障部队922医院建立“医共体”，新建公卫楼，推进消化病专科病室建设。打造省级现代公共文化服务体系示范区，文化站获长沙市十大全民阅读体验基地荣誉、长沙市示范化农家书屋、长沙市级扫黄打非优秀基层示范点；举办农民运动会、农民文娱活动30余次。获省级计生群众自治示范乡镇、省基层药具服务示范窗口等荣誉，香山新村获省计生协会基层群众自治示范村荣誉。</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三是社会保障务实推进。</w:t>
      </w:r>
      <w:r>
        <w:rPr>
          <w:rFonts w:ascii="仿宋" w:hAnsi="仿宋" w:eastAsia="仿宋" w:cs="仿宋_GB2312"/>
          <w:color w:val="000000" w:themeColor="text1"/>
          <w:sz w:val="28"/>
          <w:szCs w:val="28"/>
        </w:rPr>
        <w:t>积极推进“一门式办理”和“一件事一次办”工作，推进村（社区）服务大厅建设，高标准打造夏铎铺社区示范化“一门式”服务大厅，大幅度提升办事效率和服务体验。举行专场招聘会8次，开展各类技能培训班17期，培训640人，帮助贫困劳动力就业336人，其中稳定就业315人。增加新就业扶贫车间，建档立卡贫困劳动力就业实现应就尽就，让有就业意愿的人在夏铎铺均能实现在家门口就业。慰问困难群众3072户，共计215.6万元；临时救济736户，共计97.5万元，真正做到底数清晰，雪中送炭，走访慰问“不少一户、不漏一人”。</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hint="eastAsia" w:ascii="仿宋" w:hAnsi="仿宋" w:eastAsia="仿宋" w:cs="仿宋_GB2312"/>
          <w:bCs/>
          <w:color w:val="000000" w:themeColor="text1"/>
          <w:kern w:val="0"/>
          <w:sz w:val="28"/>
          <w:szCs w:val="28"/>
        </w:rPr>
        <w:t>四</w:t>
      </w:r>
      <w:r>
        <w:rPr>
          <w:rFonts w:ascii="仿宋" w:hAnsi="仿宋" w:eastAsia="仿宋" w:cs="仿宋_GB2312"/>
          <w:bCs/>
          <w:color w:val="000000" w:themeColor="text1"/>
          <w:kern w:val="0"/>
          <w:sz w:val="28"/>
          <w:szCs w:val="28"/>
        </w:rPr>
        <w:t>是全面铺排网格管理。</w:t>
      </w:r>
      <w:r>
        <w:rPr>
          <w:rFonts w:ascii="仿宋" w:hAnsi="仿宋" w:eastAsia="仿宋" w:cs="仿宋_GB2312"/>
          <w:color w:val="000000" w:themeColor="text1"/>
          <w:sz w:val="28"/>
          <w:szCs w:val="28"/>
        </w:rPr>
        <w:t>深入开展“四联五到位”民情大走访工作，形成“五个统一”机制，率先使用智信APP考核系统，173名镇村网格干部履职全面到位。坚持网格工作“三到位”“三必有”“四个无”，建立“网格民声”微信群，重点解决群众反映的热点难点问题，做到了“横到边、纵到底、全覆盖、无缝隙”的网格管理模式。五年来，我镇率先推行并坚持网格化管理服务，真抓实干赢得群众点赞，综治民调满意率从69.5%到90.8%，历年信访积案全面清零。</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hint="eastAsia" w:ascii="仿宋" w:hAnsi="仿宋" w:eastAsia="仿宋" w:cs="仿宋_GB2312"/>
          <w:bCs/>
          <w:color w:val="000000" w:themeColor="text1"/>
          <w:sz w:val="28"/>
          <w:szCs w:val="28"/>
        </w:rPr>
        <w:t>五</w:t>
      </w:r>
      <w:r>
        <w:rPr>
          <w:rFonts w:ascii="仿宋" w:hAnsi="仿宋" w:eastAsia="仿宋" w:cs="仿宋_GB2312"/>
          <w:bCs/>
          <w:color w:val="000000" w:themeColor="text1"/>
          <w:sz w:val="28"/>
          <w:szCs w:val="28"/>
        </w:rPr>
        <w:t>是抓严抓实安全生产。</w:t>
      </w:r>
      <w:r>
        <w:rPr>
          <w:rFonts w:ascii="仿宋" w:hAnsi="仿宋" w:eastAsia="仿宋" w:cs="仿宋_GB2312"/>
          <w:color w:val="000000" w:themeColor="text1"/>
          <w:sz w:val="28"/>
          <w:szCs w:val="28"/>
        </w:rPr>
        <w:t>始终坚持“安全第一、预防为主”的方针，不断增强安全生产责任意识，制定安全生产行动计划，解决道路交通安全中存在的隐患和问题，抓好重点企业的生产安全和农村聚餐的食品安全工作，大力推进雪亮工程、天网工程和明厨亮灶工程，确保安全生产未发生重大事故和问题。</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hint="eastAsia" w:ascii="仿宋" w:hAnsi="仿宋" w:eastAsia="仿宋" w:cs="仿宋_GB2312"/>
          <w:bCs/>
          <w:color w:val="000000" w:themeColor="text1"/>
          <w:sz w:val="28"/>
          <w:szCs w:val="28"/>
        </w:rPr>
        <w:t>六</w:t>
      </w:r>
      <w:r>
        <w:rPr>
          <w:rFonts w:ascii="仿宋" w:hAnsi="仿宋" w:eastAsia="仿宋" w:cs="仿宋_GB2312"/>
          <w:bCs/>
          <w:color w:val="000000" w:themeColor="text1"/>
          <w:sz w:val="28"/>
          <w:szCs w:val="28"/>
        </w:rPr>
        <w:t>是扎实推进平安创建。</w:t>
      </w:r>
      <w:r>
        <w:rPr>
          <w:rFonts w:ascii="仿宋" w:hAnsi="仿宋" w:eastAsia="仿宋" w:cs="仿宋_GB2312"/>
          <w:color w:val="000000" w:themeColor="text1"/>
          <w:sz w:val="28"/>
          <w:szCs w:val="28"/>
        </w:rPr>
        <w:t>制定扫黑除恶方案，打击非法集资，全面召开平安创建屋场夜话，组织村警述职，建立社区戒毒中心；积极协调相关部门处理颐和寿康非法集资问题；积极打击地下“六合彩”，严厉打击镇域内“黑庄”，社会风气得到明显改善，综治民调满意度连年提升。2020年，信访国家交办件积案化解率100%；全年无进京上访人员，获评省级信访工作“三无”乡镇。</w:t>
      </w:r>
    </w:p>
    <w:p>
      <w:pPr>
        <w:adjustRightInd w:val="0"/>
        <w:snapToGrid w:val="0"/>
        <w:spacing w:line="560" w:lineRule="exact"/>
        <w:ind w:firstLine="560" w:firstLineChars="200"/>
        <w:textAlignment w:val="baseline"/>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我们始终坚持民生为本，始终坚持发展成果惠及群众、造福群众、反馈人民，人民群众享有了更好的社会保障。</w:t>
      </w:r>
      <w:r>
        <w:rPr>
          <w:rFonts w:ascii="仿宋" w:hAnsi="仿宋" w:eastAsia="仿宋" w:cs="仿宋_GB2312"/>
          <w:sz w:val="28"/>
          <w:szCs w:val="28"/>
        </w:rPr>
        <w:t>群众满意度指标和可持续性指标均达标。</w:t>
      </w:r>
    </w:p>
    <w:p>
      <w:pPr>
        <w:pStyle w:val="10"/>
        <w:widowControl/>
        <w:spacing w:line="435" w:lineRule="atLeast"/>
        <w:ind w:firstLine="555"/>
        <w:rPr>
          <w:rFonts w:hint="default" w:ascii="仿宋" w:hAnsi="仿宋" w:eastAsia="仿宋" w:cs="黑体"/>
          <w:sz w:val="28"/>
          <w:szCs w:val="28"/>
        </w:rPr>
      </w:pPr>
      <w:r>
        <w:rPr>
          <w:rFonts w:ascii="仿宋" w:hAnsi="仿宋" w:eastAsia="仿宋" w:cs="黑体"/>
          <w:sz w:val="28"/>
          <w:szCs w:val="28"/>
        </w:rPr>
        <w:t>六、存在的主要问题</w:t>
      </w:r>
    </w:p>
    <w:p>
      <w:pPr>
        <w:pStyle w:val="34"/>
        <w:adjustRightInd w:val="0"/>
        <w:spacing w:line="560" w:lineRule="exact"/>
        <w:ind w:firstLine="536"/>
        <w:jc w:val="both"/>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在肯定成绩的同时，我们也清醒地认识到，夏铎铺经济社会发展还存在不少问题和挑战。</w:t>
      </w:r>
      <w:r>
        <w:rPr>
          <w:rFonts w:hint="eastAsia" w:ascii="仿宋" w:hAnsi="仿宋" w:eastAsia="仿宋" w:cs="仿宋_GB2312"/>
          <w:color w:val="000000" w:themeColor="text1"/>
          <w:sz w:val="28"/>
          <w:szCs w:val="28"/>
        </w:rPr>
        <w:t>全</w:t>
      </w:r>
      <w:r>
        <w:rPr>
          <w:rFonts w:ascii="仿宋" w:hAnsi="仿宋" w:eastAsia="仿宋" w:cs="仿宋_GB2312"/>
          <w:color w:val="000000" w:themeColor="text1"/>
          <w:sz w:val="28"/>
          <w:szCs w:val="28"/>
        </w:rPr>
        <w:t>球新冠肺炎疫情的持续蔓延及经济下行压力较大，财税征收压力巨大，产业结构有待进一步转型；前期发展带来的征拆、环保遗留问题还有不少；高新技术项目较少，品牌项目影响力小，高层次人才匮乏，自主创新能力有待加强；</w:t>
      </w:r>
      <w:r>
        <w:rPr>
          <w:rFonts w:ascii="仿宋" w:hAnsi="仿宋" w:eastAsia="仿宋" w:cs="仿宋_GB2312"/>
          <w:color w:val="000000" w:themeColor="text1"/>
          <w:spacing w:val="6"/>
          <w:sz w:val="28"/>
          <w:szCs w:val="28"/>
        </w:rPr>
        <w:t>部分</w:t>
      </w:r>
      <w:r>
        <w:rPr>
          <w:rFonts w:ascii="仿宋" w:hAnsi="仿宋" w:eastAsia="仿宋" w:cs="仿宋_GB2312"/>
          <w:color w:val="000000" w:themeColor="text1"/>
          <w:sz w:val="28"/>
          <w:szCs w:val="28"/>
        </w:rPr>
        <w:t>党员干部还存在“守摊子”理念，工作作风有待进一步改进</w:t>
      </w:r>
      <w:r>
        <w:rPr>
          <w:rFonts w:ascii="仿宋" w:hAnsi="仿宋" w:eastAsia="仿宋" w:cs="仿宋_GB2312"/>
          <w:color w:val="000000" w:themeColor="text1"/>
          <w:spacing w:val="6"/>
          <w:sz w:val="28"/>
          <w:szCs w:val="28"/>
        </w:rPr>
        <w:t>。</w:t>
      </w:r>
      <w:r>
        <w:rPr>
          <w:rFonts w:ascii="仿宋" w:hAnsi="仿宋" w:eastAsia="仿宋" w:cs="仿宋_GB2312"/>
          <w:color w:val="000000" w:themeColor="text1"/>
          <w:sz w:val="28"/>
          <w:szCs w:val="28"/>
        </w:rPr>
        <w:t>对此，我们必须正视困难问题，采取更加扎实有效的措施加以解决。</w:t>
      </w:r>
    </w:p>
    <w:p>
      <w:pPr>
        <w:pStyle w:val="34"/>
        <w:adjustRightInd w:val="0"/>
        <w:spacing w:line="560" w:lineRule="exact"/>
        <w:ind w:firstLine="536"/>
        <w:jc w:val="both"/>
        <w:rPr>
          <w:rFonts w:ascii="仿宋" w:hAnsi="仿宋" w:cs="黑体"/>
          <w:color w:val="000000" w:themeColor="text1"/>
          <w:spacing w:val="-6"/>
          <w:sz w:val="28"/>
          <w:szCs w:val="28"/>
        </w:rPr>
      </w:pPr>
      <w:r>
        <w:rPr>
          <w:rFonts w:hint="eastAsia" w:ascii="仿宋" w:hAnsi="仿宋" w:cs="仿宋_GB2312"/>
          <w:color w:val="000000" w:themeColor="text1"/>
          <w:sz w:val="28"/>
          <w:szCs w:val="28"/>
          <w:lang w:eastAsia="zh-CN"/>
        </w:rPr>
        <w:t>七</w:t>
      </w:r>
      <w:r>
        <w:rPr>
          <w:rStyle w:val="22"/>
          <w:rFonts w:hint="eastAsia" w:ascii="仿宋" w:hAnsi="仿宋" w:eastAsia="仿宋" w:cs="仿宋"/>
          <w:color w:val="auto"/>
          <w:sz w:val="28"/>
          <w:szCs w:val="28"/>
          <w:lang w:eastAsia="zh-CN"/>
        </w:rPr>
        <w:t>、</w:t>
      </w:r>
      <w:r>
        <w:rPr>
          <w:rFonts w:hint="eastAsia" w:ascii="仿宋" w:hAnsi="仿宋" w:cs="黑体"/>
          <w:color w:val="000000" w:themeColor="text1"/>
          <w:spacing w:val="-6"/>
          <w:sz w:val="28"/>
          <w:szCs w:val="28"/>
        </w:rPr>
        <w:t>乘风破浪开新局，凝心聚力谱写夏铎高质量发展新篇章</w:t>
      </w:r>
    </w:p>
    <w:p>
      <w:pPr>
        <w:adjustRightInd w:val="0"/>
        <w:snapToGrid w:val="0"/>
        <w:spacing w:line="560" w:lineRule="exact"/>
        <w:ind w:firstLine="560" w:firstLineChars="200"/>
        <w:rPr>
          <w:rStyle w:val="35"/>
          <w:rFonts w:hint="default" w:ascii="仿宋" w:hAnsi="仿宋" w:eastAsia="仿宋" w:cs="仿宋_GB2312"/>
          <w:sz w:val="28"/>
          <w:szCs w:val="28"/>
        </w:rPr>
      </w:pPr>
      <w:r>
        <w:rPr>
          <w:rStyle w:val="35"/>
          <w:rFonts w:hint="eastAsia" w:ascii="仿宋" w:hAnsi="仿宋" w:eastAsia="仿宋" w:cs="仿宋_GB2312"/>
          <w:color w:val="000000" w:themeColor="text1"/>
          <w:sz w:val="28"/>
          <w:szCs w:val="28"/>
          <w:lang w:val="en-US"/>
        </w:rPr>
        <w:t>2021</w:t>
      </w:r>
      <w:r>
        <w:rPr>
          <w:rStyle w:val="35"/>
          <w:rFonts w:hint="default" w:ascii="仿宋" w:hAnsi="仿宋" w:eastAsia="仿宋" w:cs="仿宋_GB2312"/>
          <w:color w:val="000000" w:themeColor="text1"/>
          <w:sz w:val="28"/>
          <w:szCs w:val="28"/>
        </w:rPr>
        <w:t>，我镇将坚持以习近平新时代中国特色社会主义思想为指导，在深入实施“三高四新”战略部署中，紧紧围绕宁乡市委、市政府坚持“一江两岸、东进融城”发展主轴，以更具前瞻的眼光、更具担当的态度、更具活力的干劲，进一步凝聚发展共识，奏响新一轮振兴发展的乐章。</w:t>
      </w:r>
    </w:p>
    <w:p>
      <w:pPr>
        <w:adjustRightInd w:val="0"/>
        <w:snapToGrid w:val="0"/>
        <w:spacing w:line="560" w:lineRule="exact"/>
        <w:ind w:firstLine="560" w:firstLineChars="200"/>
        <w:rPr>
          <w:rFonts w:ascii="仿宋" w:hAnsi="仿宋" w:eastAsia="仿宋" w:cs="楷体"/>
          <w:sz w:val="28"/>
          <w:szCs w:val="28"/>
        </w:rPr>
      </w:pPr>
      <w:r>
        <w:rPr>
          <w:rFonts w:hint="eastAsia" w:ascii="仿宋" w:hAnsi="仿宋" w:eastAsia="仿宋" w:cs="楷体"/>
          <w:color w:val="000000" w:themeColor="text1"/>
          <w:sz w:val="28"/>
          <w:szCs w:val="28"/>
        </w:rPr>
        <w:t>（一）坚持以党建引领、“四联五到位”民情大走访、平安建设为重点，不断实现社会治理创新，建设和谐夏铎。</w:t>
      </w:r>
    </w:p>
    <w:p>
      <w:pPr>
        <w:adjustRightInd w:val="0"/>
        <w:snapToGrid w:val="0"/>
        <w:spacing w:line="560" w:lineRule="exact"/>
        <w:ind w:firstLine="560" w:firstLineChars="200"/>
        <w:rPr>
          <w:rFonts w:ascii="仿宋" w:hAnsi="仿宋" w:eastAsia="仿宋" w:cs="仿宋"/>
          <w:color w:val="000000" w:themeColor="text1"/>
          <w:sz w:val="28"/>
          <w:szCs w:val="28"/>
        </w:rPr>
      </w:pPr>
      <w:r>
        <w:rPr>
          <w:rStyle w:val="35"/>
          <w:rFonts w:hint="default" w:ascii="仿宋" w:hAnsi="仿宋" w:eastAsia="仿宋" w:cs="仿宋_GB2312"/>
          <w:color w:val="000000" w:themeColor="text1"/>
          <w:sz w:val="28"/>
          <w:szCs w:val="28"/>
        </w:rPr>
        <w:t>将旗帜鲜明讲政治摆在首位，持续强化政治领导力、群众组织力和社会号召力，充分发挥党统一领导、总揽全局、协调各方的核心作用。践行以人民为中心的发展思想，不断提高基层社会治理现代化、法治化、专业化水平，加快形成共建共治共享的基层社会治理新格局</w:t>
      </w:r>
      <w:r>
        <w:rPr>
          <w:rFonts w:hint="eastAsia" w:ascii="仿宋" w:hAnsi="仿宋" w:eastAsia="仿宋" w:cs="仿宋"/>
          <w:color w:val="000000" w:themeColor="text1"/>
          <w:sz w:val="28"/>
          <w:szCs w:val="28"/>
        </w:rPr>
        <w:t>。</w:t>
      </w:r>
    </w:p>
    <w:p>
      <w:pPr>
        <w:adjustRightInd w:val="0"/>
        <w:snapToGrid w:val="0"/>
        <w:spacing w:line="560" w:lineRule="exact"/>
        <w:ind w:firstLine="560" w:firstLineChars="200"/>
        <w:rPr>
          <w:rStyle w:val="35"/>
          <w:rFonts w:hint="default" w:ascii="仿宋" w:hAnsi="仿宋" w:eastAsia="仿宋" w:cs="仿宋_GB2312"/>
          <w:sz w:val="28"/>
          <w:szCs w:val="28"/>
        </w:rPr>
      </w:pPr>
      <w:r>
        <w:rPr>
          <w:rFonts w:ascii="仿宋" w:hAnsi="仿宋" w:eastAsia="仿宋" w:cs="仿宋_GB2312"/>
          <w:bCs/>
          <w:color w:val="000000" w:themeColor="text1"/>
          <w:kern w:val="0"/>
          <w:sz w:val="28"/>
          <w:szCs w:val="28"/>
        </w:rPr>
        <w:t>一是夯实基层战斗堡垒。</w:t>
      </w:r>
      <w:r>
        <w:rPr>
          <w:rStyle w:val="35"/>
          <w:rFonts w:hint="default" w:ascii="仿宋" w:hAnsi="仿宋" w:eastAsia="仿宋" w:cs="仿宋_GB2312"/>
          <w:color w:val="000000" w:themeColor="text1"/>
          <w:sz w:val="28"/>
          <w:szCs w:val="28"/>
        </w:rPr>
        <w:t>以党史学习教育为契机，抓实党组织“五化”建设和“三零”村（社区）创建，并将意识形态与中心工作同安排同部署，明确村（社区）总支书记为第一责任人，围绕“学史明理”“学史增信”“学史崇德”“学史力行”四个专题，扎实开展“三会一课”、主题党日、党员冬春训等工作。进一步规范党员发展和不合格党员处置，严把党员政治关、标准关和入口关；进一步细化机关、部门单位党组织管理，优化“两新”党组织班子配备和业务指导；全力保障工会、共青团、妇联、老干、关协、残联等群团组织工作。</w:t>
      </w:r>
    </w:p>
    <w:p>
      <w:pPr>
        <w:adjustRightInd w:val="0"/>
        <w:snapToGrid w:val="0"/>
        <w:spacing w:line="560" w:lineRule="exact"/>
        <w:ind w:firstLine="560" w:firstLineChars="200"/>
        <w:rPr>
          <w:rStyle w:val="35"/>
          <w:rFonts w:hint="default"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二是扎实开展“四联五到位”工作。</w:t>
      </w:r>
      <w:r>
        <w:rPr>
          <w:rStyle w:val="35"/>
          <w:rFonts w:hint="default" w:ascii="仿宋" w:hAnsi="仿宋" w:eastAsia="仿宋" w:cs="仿宋_GB2312"/>
          <w:color w:val="000000" w:themeColor="text1"/>
          <w:sz w:val="28"/>
          <w:szCs w:val="28"/>
        </w:rPr>
        <w:t>启用“乡村钉”数字乡村，接入村民移动互联网生活“最后一公里</w:t>
      </w:r>
      <w:r>
        <w:rPr>
          <w:rStyle w:val="35"/>
          <w:rFonts w:hint="eastAsia" w:ascii="仿宋" w:hAnsi="仿宋" w:eastAsia="仿宋" w:cs="仿宋_GB2312"/>
          <w:color w:val="000000" w:themeColor="text1"/>
          <w:sz w:val="28"/>
          <w:szCs w:val="28"/>
        </w:rPr>
        <w:t>”</w:t>
      </w:r>
      <w:r>
        <w:rPr>
          <w:rStyle w:val="35"/>
          <w:rFonts w:hint="default" w:ascii="仿宋" w:hAnsi="仿宋" w:eastAsia="仿宋" w:cs="仿宋_GB2312"/>
          <w:color w:val="000000" w:themeColor="text1"/>
          <w:sz w:val="28"/>
          <w:szCs w:val="28"/>
        </w:rPr>
        <w:t>缩小城乡“数字鸿沟”，实现乡村治理现代化，让基层治理更简单，让干群协作更紧密，让村民生活更丰富；推行党员“联户积分”、责任网格地图上墙公示，建立问题处置“四级闭环”工作流程，及时发布督查通报，高标准打造“四联五到位”活动室，镇村服务大厅实时更新“为民驿站”服务墙，充分发挥党员在推动产业发展、优化营商环境、维护社会稳定等方面的先锋模范作用，构建党员带头、干群联动、合力共建的良好局面。</w:t>
      </w:r>
    </w:p>
    <w:p>
      <w:pPr>
        <w:adjustRightInd w:val="0"/>
        <w:snapToGrid w:val="0"/>
        <w:spacing w:line="560" w:lineRule="exact"/>
        <w:ind w:firstLine="560" w:firstLineChars="200"/>
        <w:rPr>
          <w:rFonts w:ascii="仿宋" w:hAnsi="仿宋" w:eastAsia="仿宋"/>
          <w:bCs/>
          <w:sz w:val="28"/>
          <w:szCs w:val="28"/>
        </w:rPr>
      </w:pPr>
      <w:r>
        <w:rPr>
          <w:rFonts w:ascii="仿宋" w:hAnsi="仿宋" w:eastAsia="仿宋" w:cs="仿宋_GB2312"/>
          <w:bCs/>
          <w:color w:val="000000" w:themeColor="text1"/>
          <w:kern w:val="0"/>
          <w:sz w:val="28"/>
          <w:szCs w:val="28"/>
        </w:rPr>
        <w:t>三是提升安全发展实效。</w:t>
      </w:r>
      <w:r>
        <w:rPr>
          <w:rFonts w:ascii="仿宋" w:hAnsi="仿宋" w:eastAsia="仿宋" w:cs="仿宋_GB2312"/>
          <w:color w:val="000000" w:themeColor="text1"/>
          <w:sz w:val="28"/>
          <w:szCs w:val="28"/>
        </w:rPr>
        <w:t>把防范化解重大风险摆在突出位置，每月召开安全工作例会，坚决遏制重大安全生产事故发生；持续完善“两站两员”管理机制，重点聚焦农村道路安全问题；详细勘查校车线路，确保辖区内校车全年安全营运。坚持打击和预防并举，引导群众参与到社会治理中来，营造群防群治的良好氛围；巩固扫黑除恶专项斗争成果，依法严厉打击各类违法犯罪活动，铲除黑恶势力滋生土壤，提振人民群众与黑恶势力斗争的信心；健全人民调解制度，努力实现民间纠纷调处成功率100%。</w:t>
      </w:r>
    </w:p>
    <w:p>
      <w:pPr>
        <w:adjustRightInd w:val="0"/>
        <w:snapToGrid w:val="0"/>
        <w:spacing w:line="560" w:lineRule="exact"/>
        <w:ind w:firstLine="560" w:firstLineChars="200"/>
        <w:rPr>
          <w:rFonts w:ascii="仿宋" w:hAnsi="仿宋" w:eastAsia="仿宋" w:cs="楷体"/>
          <w:color w:val="000000" w:themeColor="text1"/>
          <w:sz w:val="28"/>
          <w:szCs w:val="28"/>
        </w:rPr>
      </w:pPr>
      <w:r>
        <w:rPr>
          <w:rFonts w:hint="eastAsia" w:ascii="仿宋" w:hAnsi="仿宋" w:eastAsia="仿宋" w:cs="楷体"/>
          <w:color w:val="000000" w:themeColor="text1"/>
          <w:sz w:val="28"/>
          <w:szCs w:val="28"/>
        </w:rPr>
        <w:t>（二）坚持以乡村振兴、生态宜居、科教文卫为重点，不断提升人民群众满意度和幸福感，建设幸福夏铎。</w:t>
      </w:r>
    </w:p>
    <w:p>
      <w:pPr>
        <w:adjustRightInd w:val="0"/>
        <w:snapToGrid w:val="0"/>
        <w:spacing w:line="560" w:lineRule="exact"/>
        <w:ind w:firstLine="560" w:firstLineChars="200"/>
        <w:rPr>
          <w:rFonts w:ascii="仿宋" w:hAnsi="仿宋" w:eastAsia="仿宋" w:cs="仿宋_GB2312"/>
          <w:color w:val="000000" w:themeColor="text1"/>
          <w:sz w:val="28"/>
          <w:szCs w:val="28"/>
          <w:shd w:val="clear" w:color="auto" w:fill="FFFFFF"/>
        </w:rPr>
      </w:pPr>
      <w:r>
        <w:rPr>
          <w:rFonts w:ascii="仿宋" w:hAnsi="仿宋" w:eastAsia="仿宋" w:cs="仿宋_GB2312"/>
          <w:color w:val="000000" w:themeColor="text1"/>
          <w:sz w:val="28"/>
          <w:szCs w:val="28"/>
          <w:shd w:val="clear" w:color="auto" w:fill="FFFFFF"/>
        </w:rPr>
        <w:t>坚持按照“产业兴旺、生态宜居、乡风文明、治理有效、生活富裕”的要求，抓重点、提质量、增动能、强基础，实现夏铎铺镇农业强、农民富、农村美。</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一是积极实施乡村振兴战略。</w:t>
      </w:r>
      <w:r>
        <w:rPr>
          <w:rFonts w:ascii="仿宋" w:hAnsi="仿宋" w:eastAsia="仿宋" w:cs="仿宋_GB2312"/>
          <w:color w:val="000000" w:themeColor="text1"/>
          <w:sz w:val="28"/>
          <w:szCs w:val="28"/>
          <w:shd w:val="clear" w:color="auto" w:fill="FFFFFF"/>
        </w:rPr>
        <w:t>深入融合宁乡市“一环两带三园多点支撑”布局，积极培育“一镇一特”“一特一片”优势特色产业。引进全产业链项目，扎实推进农业现代化，形成产业集聚效应。全面推进全域土地综合整治，积极串联石仑关-香山国家森林公园-华强方特精品旅游路线，推动夏铎铺旅游目的地形象</w:t>
      </w:r>
      <w:r>
        <w:rPr>
          <w:rFonts w:ascii="仿宋" w:hAnsi="仿宋" w:eastAsia="仿宋" w:cs="仿宋_GB2312"/>
          <w:color w:val="000000" w:themeColor="text1"/>
          <w:sz w:val="28"/>
          <w:szCs w:val="28"/>
        </w:rPr>
        <w:t>塑造，推进公路沿线配套服务设施的规划建设，将夏铎铺旅游业打造为全宁乡乃至湖南的闪亮品牌。坚持不懈壮大集体经济，根据产业结构和特色将全镇9个村（社区）发展模式划分为农旅融合型、物业经营型、土地合作型和资源开发型4类，进一步明确实施乡村振兴战略的目标、任务、重点和路径。</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二是狠抓城乡人居环境整治。</w:t>
      </w:r>
      <w:r>
        <w:rPr>
          <w:rFonts w:ascii="仿宋" w:hAnsi="仿宋" w:eastAsia="仿宋" w:cs="仿宋_GB2312"/>
          <w:color w:val="000000" w:themeColor="text1"/>
          <w:sz w:val="28"/>
          <w:szCs w:val="28"/>
        </w:rPr>
        <w:t>按照“以人为本，共建共享；注重长效，建管并重；教育引导、移风易俗”的原则，大力推动“垃圾分类减量攻坚战”、“村庄清洁行动”、“蓝天保卫战”、“碧水攻坚战”及“厕所革命”等的全面展开，持续开展村庄清洁行动，做好垃圾、</w:t>
      </w:r>
      <w:r>
        <w:rPr>
          <w:rFonts w:ascii="仿宋" w:hAnsi="仿宋" w:eastAsia="仿宋" w:cs="仿宋_GB2312"/>
          <w:bCs/>
          <w:color w:val="000000" w:themeColor="text1"/>
          <w:sz w:val="28"/>
          <w:szCs w:val="28"/>
        </w:rPr>
        <w:t>工业废水、生活污水等的无害化处理工作，</w:t>
      </w:r>
      <w:r>
        <w:rPr>
          <w:rFonts w:ascii="仿宋" w:hAnsi="仿宋" w:eastAsia="仿宋" w:cs="仿宋_GB2312"/>
          <w:color w:val="000000" w:themeColor="text1"/>
          <w:sz w:val="28"/>
          <w:szCs w:val="28"/>
        </w:rPr>
        <w:t>整治畜禽养殖污染、农业面源污染，推进工业废气和粉尘扬尘治理，加大森林植被保护力度，严厉打击滥砍滥伐，防止严重破坏生态环境的采石场、取土场、洗砂场等死灰复燃，力争到2022年底“五治”（治厕、治垃圾、治水、治房、治风）工作取得阶段性胜利，健全完善城乡公共设施和环境卫生管护长效机制，加快推进基础设施建设，推动城乡人居环境全面改善，努力争创全国健康乡镇，使夏铎铺真正成为宁乡的新客厅。</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三是推进科教文卫事业发展。有效解决教育、医疗等优质资源短缺的问题，努力实现基本公共服务均等化。不断满足群众在教育培训、文化体育、健康养老、就业收入、应急保障、市场稳定、安全生活等方面的服务需求。聘请专家教授坐诊，在镇卫生院原有基础上投资800万元建设宁乡市消化专科病室，筹建九年制义务学校，加快促进基本公共服务市场化、多元化、优质化，不断增强群众的获得感幸福感。</w:t>
      </w:r>
    </w:p>
    <w:p>
      <w:pPr>
        <w:widowControl/>
        <w:adjustRightInd w:val="0"/>
        <w:snapToGrid w:val="0"/>
        <w:spacing w:line="560" w:lineRule="exact"/>
        <w:ind w:firstLine="560" w:firstLineChars="200"/>
        <w:rPr>
          <w:rFonts w:ascii="仿宋" w:hAnsi="仿宋" w:eastAsia="仿宋" w:cs="楷体"/>
          <w:color w:val="000000" w:themeColor="text1"/>
          <w:sz w:val="28"/>
          <w:szCs w:val="28"/>
        </w:rPr>
      </w:pPr>
      <w:r>
        <w:rPr>
          <w:rFonts w:hint="eastAsia" w:ascii="仿宋" w:hAnsi="仿宋" w:eastAsia="仿宋" w:cs="楷体"/>
          <w:color w:val="000000" w:themeColor="text1"/>
          <w:sz w:val="28"/>
          <w:szCs w:val="28"/>
        </w:rPr>
        <w:t>（三）坚持以转型升级、土地整治、服务发展为重点，稳步推进城乡融合，建设活力夏铎。</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随着供给侧改革的进一步加深，农村三产融合将成为拉动我国农业农村积极发展新的增长极。我们要抓住关键，找准产业融合点，培育融合支撑点，把握政策着力点，扎牢利益联结点，不断推进三产融合，实现“为农、务农、兴农”的发展目标。</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sz w:val="28"/>
          <w:szCs w:val="28"/>
        </w:rPr>
        <w:t>一是大力推动传统产业转型升级。</w:t>
      </w:r>
      <w:r>
        <w:rPr>
          <w:rFonts w:ascii="仿宋" w:hAnsi="仿宋" w:eastAsia="仿宋" w:cs="仿宋_GB2312"/>
          <w:color w:val="000000" w:themeColor="text1"/>
          <w:sz w:val="28"/>
          <w:szCs w:val="28"/>
        </w:rPr>
        <w:t>大力支持忘不了服饰有限公司瞄准国内中高端市场和国外新兴市场，大力拓展高端设计、私人订制、“互联网+”等新兴领域，不断提升个性化、品牌化、柔性化制造生产水平，进一步提升竞争力，并逐渐形成集聚效应，大力推动传统产业转型，向高端发展。促进工业转型升级，争取“香山精密智造小镇”获批湖南省工业特色小镇。积极协助载体单位，不断推动夏铎铺机械工业园以提质更新为主，协助高新区推进园区硬件设施和服务体系的专业化升级，促进相关企业逐步向新兴产业发展，提升竞争力，形成新兴产业集聚效应，推动相关企业从二产向二三产业融合发展。</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sz w:val="28"/>
          <w:szCs w:val="28"/>
        </w:rPr>
        <w:t>二是积极推进全域土地综合整治。</w:t>
      </w:r>
      <w:r>
        <w:rPr>
          <w:rFonts w:ascii="仿宋" w:hAnsi="仿宋" w:eastAsia="仿宋" w:cs="仿宋_GB2312"/>
          <w:color w:val="000000" w:themeColor="text1"/>
          <w:sz w:val="28"/>
          <w:szCs w:val="28"/>
        </w:rPr>
        <w:t>项目分东（天马）、南（凤桥）两个片区分期推进，东片区以蓝城集团为核心，打造“一廊两核四心四村四园四组团”，以康养和高服为重点，大力提升区域经济、生态、社会、品牌价值，成为产业高服龙头引擎、城乡统筹发展样板、高端康养度假标杆；南片区进一步加强与正大集团、时代阳光等企业对接，引入现代农业生产理念，打造集生产、流通、技术服务、培训一体化为核心的现代农业产业高科技服务园区，最终形成一个以优质蔬菜种苗生产销售、旅游观光、采摘和餐饮为一体的三产融合项目，形成以点带面辐射其他村（社区）的联动发展格局。通过不断推进的产业融合，从而破除妨碍城乡要素自由流动和平等交换的体制机制壁垒，促进各类要素更多向乡村流动，形成人才、土地、资金、产业、信息汇聚的良性循环。进一步完善安置区规划、土地整治规划、镇村空间规划、搬迁实施方案、产业项目布局等，力争打造集约高效的生产空间，营造宜居适度的生活空间，保护山清水秀的生态空间。</w:t>
      </w:r>
    </w:p>
    <w:p>
      <w:pPr>
        <w:adjustRightInd w:val="0"/>
        <w:snapToGrid w:val="0"/>
        <w:spacing w:line="560" w:lineRule="exact"/>
        <w:ind w:firstLine="560" w:firstLineChars="200"/>
        <w:rPr>
          <w:rFonts w:ascii="仿宋" w:hAnsi="仿宋" w:eastAsia="仿宋" w:cs="仿宋_GB2312"/>
          <w:bCs/>
          <w:color w:val="000000" w:themeColor="text1"/>
          <w:sz w:val="28"/>
          <w:szCs w:val="28"/>
        </w:rPr>
      </w:pPr>
      <w:r>
        <w:rPr>
          <w:rFonts w:ascii="仿宋" w:hAnsi="仿宋" w:eastAsia="仿宋" w:cs="仿宋_GB2312"/>
          <w:bCs/>
          <w:color w:val="000000" w:themeColor="text1"/>
          <w:sz w:val="28"/>
          <w:szCs w:val="28"/>
        </w:rPr>
        <w:t>三是全力服务好载体单位的要素保障。</w:t>
      </w:r>
      <w:r>
        <w:rPr>
          <w:rFonts w:ascii="仿宋" w:hAnsi="仿宋" w:eastAsia="仿宋" w:cs="仿宋_GB2312"/>
          <w:color w:val="000000" w:themeColor="text1"/>
          <w:sz w:val="28"/>
          <w:szCs w:val="28"/>
        </w:rPr>
        <w:t>服务项目就是服务发展，全力维护宁乡高新区、国资集团、沩东新城等载体单位的项目施工环境，保障省电网“630攻坚”500千伏变电站，长沙幼儿师专、卫职院附属医院等项目的顺利推进；积极争取政策倾斜，吸引更多社会资本参与基础设施、产业发展和民生项目建设；增加力量到项目服务一线，维护施工环境，协调各方关系，想方设法为项目顺利动工创造条件，扫清障碍；实施阳光拆迁，确保公平、公正、公开，高效推进拆迁腾地、闲置土地清理，切实强化用地保障。</w:t>
      </w:r>
    </w:p>
    <w:p>
      <w:pPr>
        <w:adjustRightInd w:val="0"/>
        <w:snapToGrid w:val="0"/>
        <w:spacing w:line="560" w:lineRule="exact"/>
        <w:ind w:firstLine="560" w:firstLineChars="200"/>
        <w:rPr>
          <w:rFonts w:ascii="仿宋" w:hAnsi="仿宋" w:eastAsia="仿宋" w:cs="楷体"/>
          <w:color w:val="000000" w:themeColor="text1"/>
          <w:sz w:val="28"/>
          <w:szCs w:val="28"/>
        </w:rPr>
      </w:pPr>
      <w:r>
        <w:rPr>
          <w:rFonts w:hint="eastAsia" w:ascii="仿宋" w:hAnsi="仿宋" w:eastAsia="仿宋" w:cs="楷体"/>
          <w:color w:val="000000" w:themeColor="text1"/>
          <w:sz w:val="28"/>
          <w:szCs w:val="28"/>
        </w:rPr>
        <w:t>（四）坚持以法治建设、作风建设、惩防并举为重点，稳步提升队伍履职能力，建设廉洁夏铎。</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坚定不移从严管党治党，不断优化政府办事效率，营造夏铎风清气正氛围。</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一是推进法治建设，严格依法行政。</w:t>
      </w:r>
      <w:r>
        <w:rPr>
          <w:rFonts w:ascii="仿宋" w:hAnsi="仿宋" w:eastAsia="仿宋" w:cs="仿宋_GB2312"/>
          <w:color w:val="000000" w:themeColor="text1"/>
          <w:sz w:val="28"/>
          <w:szCs w:val="28"/>
        </w:rPr>
        <w:t>严格落实法治政府建设责任，不断强化法治思维，落实重大行政决策的程序和制度；深化政务公开，扎实做好“互联网+政务服务”，及时主动回应社会关切，受理业务办结率、市长热线回复率均达到100%。</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二是强化作风建设，坚守纪律底线。</w:t>
      </w:r>
      <w:r>
        <w:rPr>
          <w:rFonts w:ascii="仿宋" w:hAnsi="仿宋" w:eastAsia="仿宋" w:cs="仿宋_GB2312"/>
          <w:color w:val="000000" w:themeColor="text1"/>
          <w:sz w:val="28"/>
          <w:szCs w:val="28"/>
        </w:rPr>
        <w:t>牢固树立“四个意识”、坚定“四个自信”、做到“两个维护”， 落实全面从严治党总体要求，筑牢作风建设的思想防线；从宣传与责任落实两方面着手，推动全面从严治党向村组延伸；深入整改“四风”，明确镇村干部考核制度以及权力清单，重点整治党员干部的衙门作风、部门做派；加大警示教育力度，严守党的政治纪律和政治规矩，努力打造忠诚、干净、担当的干部队伍。</w:t>
      </w:r>
    </w:p>
    <w:p>
      <w:pPr>
        <w:adjustRightInd w:val="0"/>
        <w:snapToGrid w:val="0"/>
        <w:spacing w:line="560" w:lineRule="exact"/>
        <w:ind w:firstLine="560" w:firstLineChars="200"/>
        <w:rPr>
          <w:rFonts w:ascii="仿宋" w:hAnsi="仿宋" w:eastAsia="仿宋" w:cs="仿宋_GB2312"/>
          <w:color w:val="000000" w:themeColor="text1"/>
          <w:sz w:val="28"/>
          <w:szCs w:val="28"/>
        </w:rPr>
      </w:pPr>
      <w:r>
        <w:rPr>
          <w:rFonts w:ascii="仿宋" w:hAnsi="仿宋" w:eastAsia="仿宋" w:cs="仿宋_GB2312"/>
          <w:bCs/>
          <w:color w:val="000000" w:themeColor="text1"/>
          <w:kern w:val="0"/>
          <w:sz w:val="28"/>
          <w:szCs w:val="28"/>
        </w:rPr>
        <w:t>三是突出惩防并举，推进廉洁从政。</w:t>
      </w:r>
      <w:r>
        <w:rPr>
          <w:rFonts w:ascii="仿宋" w:hAnsi="仿宋" w:eastAsia="仿宋" w:cs="仿宋_GB2312"/>
          <w:color w:val="000000" w:themeColor="text1"/>
          <w:sz w:val="28"/>
          <w:szCs w:val="28"/>
        </w:rPr>
        <w:t>坚持标本兼治，惩防并举，既重视预防教育，也严肃查处违纪人员；实现抓早抓小的经常化、制度化，让咬耳扯袖、红脸出汗成为常态；始终坚守纪律底线，对违纪行为坚决亮红牌，绝不姑息纵容，以严格的执纪彰显纪律的权威，进一步纯化党风政风。</w:t>
      </w:r>
    </w:p>
    <w:p>
      <w:pPr>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3M2U0ZmEzZTYyZDY0OTE3MGJmMTFjOGVlYWNlODcifQ=="/>
  </w:docVars>
  <w:rsids>
    <w:rsidRoot w:val="68B2114B"/>
    <w:rsid w:val="000E5B17"/>
    <w:rsid w:val="002D750E"/>
    <w:rsid w:val="00370B40"/>
    <w:rsid w:val="003B29CB"/>
    <w:rsid w:val="005F2F0B"/>
    <w:rsid w:val="007F4181"/>
    <w:rsid w:val="008E1AA4"/>
    <w:rsid w:val="00A3702E"/>
    <w:rsid w:val="00B156C4"/>
    <w:rsid w:val="00B50390"/>
    <w:rsid w:val="00F05383"/>
    <w:rsid w:val="00F659E4"/>
    <w:rsid w:val="17CB1FE7"/>
    <w:rsid w:val="244B2D8D"/>
    <w:rsid w:val="5FA07639"/>
    <w:rsid w:val="68B2114B"/>
    <w:rsid w:val="6AB61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0" w:name="HTML Keyboard"/>
    <w:lsdException w:uiPriority="0" w:name="HTML Preformatted"/>
    <w:lsdException w:uiPriority="0" w:name="HTML Sample"/>
    <w:lsdException w:uiPriority="0" w:name="HTML Typewriter"/>
    <w:lsdException w:qFormat="1"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jc w:val="left"/>
      <w:outlineLvl w:val="0"/>
    </w:pPr>
    <w:rPr>
      <w:rFonts w:ascii="微软雅黑" w:hAnsi="微软雅黑" w:eastAsia="微软雅黑" w:cs="Times New Roman"/>
      <w:b/>
      <w:bCs/>
      <w:color w:val="333333"/>
      <w:kern w:val="44"/>
      <w:sz w:val="24"/>
    </w:rPr>
  </w:style>
  <w:style w:type="paragraph" w:styleId="3">
    <w:name w:val="heading 2"/>
    <w:basedOn w:val="1"/>
    <w:next w:val="1"/>
    <w:semiHidden/>
    <w:unhideWhenUsed/>
    <w:qFormat/>
    <w:uiPriority w:val="0"/>
    <w:pPr>
      <w:jc w:val="left"/>
      <w:outlineLvl w:val="1"/>
    </w:pPr>
    <w:rPr>
      <w:rFonts w:hint="eastAsia" w:ascii="微软雅黑" w:hAnsi="微软雅黑" w:eastAsia="微软雅黑" w:cs="Times New Roman"/>
      <w:b/>
      <w:bCs/>
      <w:color w:val="333333"/>
      <w:kern w:val="0"/>
      <w:sz w:val="24"/>
    </w:rPr>
  </w:style>
  <w:style w:type="paragraph" w:styleId="4">
    <w:name w:val="heading 4"/>
    <w:basedOn w:val="1"/>
    <w:next w:val="1"/>
    <w:semiHidden/>
    <w:unhideWhenUsed/>
    <w:qFormat/>
    <w:uiPriority w:val="0"/>
    <w:pPr>
      <w:jc w:val="left"/>
      <w:outlineLvl w:val="3"/>
    </w:pPr>
    <w:rPr>
      <w:rFonts w:hint="eastAsia" w:ascii="微软雅黑" w:hAnsi="微软雅黑" w:eastAsia="微软雅黑" w:cs="Times New Roman"/>
      <w:b/>
      <w:bCs/>
      <w:color w:val="333333"/>
      <w:kern w:val="0"/>
      <w:sz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8"/>
    <w:semiHidden/>
    <w:unhideWhenUsed/>
    <w:qFormat/>
    <w:uiPriority w:val="0"/>
    <w:pPr>
      <w:jc w:val="left"/>
    </w:pPr>
  </w:style>
  <w:style w:type="paragraph" w:styleId="6">
    <w:name w:val="Plain Text"/>
    <w:basedOn w:val="1"/>
    <w:link w:val="33"/>
    <w:unhideWhenUsed/>
    <w:qFormat/>
    <w:uiPriority w:val="0"/>
    <w:rPr>
      <w:rFonts w:ascii="宋体" w:hAnsi="Courier New" w:eastAsia="宋体" w:cs="Courier New"/>
      <w:szCs w:val="21"/>
    </w:rPr>
  </w:style>
  <w:style w:type="paragraph" w:styleId="7">
    <w:name w:val="Balloon Text"/>
    <w:basedOn w:val="1"/>
    <w:link w:val="32"/>
    <w:qFormat/>
    <w:uiPriority w:val="0"/>
    <w:rPr>
      <w:sz w:val="18"/>
      <w:szCs w:val="18"/>
    </w:rPr>
  </w:style>
  <w:style w:type="paragraph" w:styleId="8">
    <w:name w:val="footer"/>
    <w:basedOn w:val="1"/>
    <w:link w:val="37"/>
    <w:unhideWhenUsed/>
    <w:qFormat/>
    <w:uiPriority w:val="0"/>
    <w:pPr>
      <w:tabs>
        <w:tab w:val="center" w:pos="4153"/>
        <w:tab w:val="right" w:pos="8306"/>
      </w:tabs>
      <w:snapToGrid w:val="0"/>
      <w:jc w:val="left"/>
    </w:pPr>
    <w:rPr>
      <w:sz w:val="18"/>
      <w:szCs w:val="18"/>
    </w:rPr>
  </w:style>
  <w:style w:type="paragraph" w:styleId="9">
    <w:name w:val="header"/>
    <w:basedOn w:val="1"/>
    <w:link w:val="36"/>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textAlignment w:val="center"/>
    </w:pPr>
    <w:rPr>
      <w:rFonts w:hint="eastAsia" w:ascii="微软雅黑" w:hAnsi="微软雅黑" w:eastAsia="微软雅黑" w:cs="Times New Roman"/>
      <w:color w:val="333333"/>
      <w:kern w:val="0"/>
      <w:sz w:val="24"/>
    </w:rPr>
  </w:style>
  <w:style w:type="paragraph" w:styleId="11">
    <w:name w:val="annotation subject"/>
    <w:basedOn w:val="5"/>
    <w:next w:val="5"/>
    <w:link w:val="39"/>
    <w:semiHidden/>
    <w:unhideWhenUsed/>
    <w:qFormat/>
    <w:uiPriority w:val="0"/>
    <w:rPr>
      <w:b/>
      <w:bCs/>
    </w:rPr>
  </w:style>
  <w:style w:type="character" w:styleId="14">
    <w:name w:val="Strong"/>
    <w:basedOn w:val="13"/>
    <w:qFormat/>
    <w:uiPriority w:val="0"/>
    <w:rPr>
      <w:b/>
    </w:rPr>
  </w:style>
  <w:style w:type="character" w:styleId="15">
    <w:name w:val="FollowedHyperlink"/>
    <w:basedOn w:val="13"/>
    <w:qFormat/>
    <w:uiPriority w:val="0"/>
    <w:rPr>
      <w:color w:val="333333"/>
      <w:u w:val="none"/>
    </w:rPr>
  </w:style>
  <w:style w:type="character" w:styleId="16">
    <w:name w:val="Emphasis"/>
    <w:basedOn w:val="13"/>
    <w:qFormat/>
    <w:uiPriority w:val="0"/>
  </w:style>
  <w:style w:type="character" w:styleId="17">
    <w:name w:val="HTML Definition"/>
    <w:basedOn w:val="13"/>
    <w:qFormat/>
    <w:uiPriority w:val="0"/>
  </w:style>
  <w:style w:type="character" w:styleId="18">
    <w:name w:val="HTML Acronym"/>
    <w:basedOn w:val="13"/>
    <w:qFormat/>
    <w:uiPriority w:val="0"/>
  </w:style>
  <w:style w:type="character" w:styleId="19">
    <w:name w:val="HTML Variable"/>
    <w:basedOn w:val="13"/>
    <w:qFormat/>
    <w:uiPriority w:val="0"/>
  </w:style>
  <w:style w:type="character" w:styleId="20">
    <w:name w:val="Hyperlink"/>
    <w:basedOn w:val="13"/>
    <w:qFormat/>
    <w:uiPriority w:val="0"/>
    <w:rPr>
      <w:color w:val="333333"/>
      <w:u w:val="none"/>
    </w:rPr>
  </w:style>
  <w:style w:type="character" w:styleId="21">
    <w:name w:val="HTML Code"/>
    <w:basedOn w:val="13"/>
    <w:qFormat/>
    <w:uiPriority w:val="0"/>
    <w:rPr>
      <w:rFonts w:hint="eastAsia" w:ascii="微软雅黑" w:hAnsi="微软雅黑" w:eastAsia="微软雅黑" w:cs="微软雅黑"/>
      <w:color w:val="333333"/>
      <w:sz w:val="24"/>
      <w:szCs w:val="24"/>
    </w:rPr>
  </w:style>
  <w:style w:type="character" w:styleId="22">
    <w:name w:val="annotation reference"/>
    <w:basedOn w:val="13"/>
    <w:semiHidden/>
    <w:unhideWhenUsed/>
    <w:qFormat/>
    <w:uiPriority w:val="0"/>
    <w:rPr>
      <w:sz w:val="21"/>
      <w:szCs w:val="21"/>
    </w:rPr>
  </w:style>
  <w:style w:type="character" w:styleId="23">
    <w:name w:val="HTML Cite"/>
    <w:basedOn w:val="13"/>
    <w:qFormat/>
    <w:uiPriority w:val="0"/>
  </w:style>
  <w:style w:type="character" w:customStyle="1" w:styleId="24">
    <w:name w:val="layui-layer-tabnow"/>
    <w:basedOn w:val="13"/>
    <w:qFormat/>
    <w:uiPriority w:val="0"/>
    <w:rPr>
      <w:bdr w:val="single" w:color="CCCCCC" w:sz="6" w:space="0"/>
      <w:shd w:val="clear" w:color="auto" w:fill="FFFFFF"/>
    </w:rPr>
  </w:style>
  <w:style w:type="character" w:customStyle="1" w:styleId="25">
    <w:name w:val="first-child1"/>
    <w:basedOn w:val="13"/>
    <w:qFormat/>
    <w:uiPriority w:val="0"/>
  </w:style>
  <w:style w:type="character" w:customStyle="1" w:styleId="26">
    <w:name w:val="disabled"/>
    <w:basedOn w:val="13"/>
    <w:qFormat/>
    <w:uiPriority w:val="0"/>
    <w:rPr>
      <w:color w:val="DFDFDF"/>
      <w:bdr w:val="single" w:color="DFDFDF" w:sz="6" w:space="0"/>
      <w:shd w:val="clear" w:color="auto" w:fill="FFFFFF"/>
    </w:rPr>
  </w:style>
  <w:style w:type="character" w:customStyle="1" w:styleId="27">
    <w:name w:val="curr"/>
    <w:basedOn w:val="13"/>
    <w:qFormat/>
    <w:uiPriority w:val="0"/>
    <w:rPr>
      <w:color w:val="006699"/>
      <w:bdr w:val="single" w:color="006699" w:sz="6" w:space="0"/>
      <w:shd w:val="clear" w:color="auto" w:fill="E6F1F7"/>
    </w:rPr>
  </w:style>
  <w:style w:type="paragraph" w:customStyle="1" w:styleId="28">
    <w:name w:val="_Style 20"/>
    <w:basedOn w:val="1"/>
    <w:next w:val="1"/>
    <w:qFormat/>
    <w:uiPriority w:val="0"/>
    <w:pPr>
      <w:pBdr>
        <w:bottom w:val="single" w:color="auto" w:sz="6" w:space="1"/>
      </w:pBdr>
      <w:jc w:val="center"/>
    </w:pPr>
    <w:rPr>
      <w:rFonts w:ascii="Arial" w:eastAsia="宋体"/>
      <w:vanish/>
      <w:sz w:val="16"/>
    </w:rPr>
  </w:style>
  <w:style w:type="paragraph" w:customStyle="1" w:styleId="29">
    <w:name w:val="_Style 21"/>
    <w:basedOn w:val="1"/>
    <w:next w:val="1"/>
    <w:qFormat/>
    <w:uiPriority w:val="0"/>
    <w:pPr>
      <w:pBdr>
        <w:top w:val="single" w:color="auto" w:sz="6" w:space="1"/>
      </w:pBdr>
      <w:jc w:val="center"/>
    </w:pPr>
    <w:rPr>
      <w:rFonts w:ascii="Arial" w:eastAsia="宋体"/>
      <w:vanish/>
      <w:sz w:val="16"/>
    </w:rPr>
  </w:style>
  <w:style w:type="character" w:customStyle="1" w:styleId="30">
    <w:name w:val="search-txt1"/>
    <w:basedOn w:val="13"/>
    <w:qFormat/>
    <w:uiPriority w:val="0"/>
    <w:rPr>
      <w:sz w:val="21"/>
      <w:szCs w:val="21"/>
      <w:shd w:val="clear" w:color="auto" w:fill="E7F2F9"/>
    </w:rPr>
  </w:style>
  <w:style w:type="character" w:customStyle="1" w:styleId="31">
    <w:name w:val="search-btn1"/>
    <w:basedOn w:val="13"/>
    <w:qFormat/>
    <w:uiPriority w:val="0"/>
    <w:rPr>
      <w:color w:val="FFFFFF"/>
      <w:bdr w:val="single" w:color="C0CAD1" w:sz="6" w:space="0"/>
      <w:shd w:val="clear" w:color="auto" w:fill="E7F2F9"/>
    </w:rPr>
  </w:style>
  <w:style w:type="character" w:customStyle="1" w:styleId="32">
    <w:name w:val="批注框文本 字符"/>
    <w:basedOn w:val="13"/>
    <w:link w:val="7"/>
    <w:qFormat/>
    <w:uiPriority w:val="0"/>
    <w:rPr>
      <w:rFonts w:asciiTheme="minorHAnsi" w:hAnsiTheme="minorHAnsi" w:eastAsiaTheme="minorEastAsia" w:cstheme="minorBidi"/>
      <w:kern w:val="2"/>
      <w:sz w:val="18"/>
      <w:szCs w:val="18"/>
    </w:rPr>
  </w:style>
  <w:style w:type="character" w:customStyle="1" w:styleId="33">
    <w:name w:val="纯文本 字符"/>
    <w:basedOn w:val="13"/>
    <w:link w:val="6"/>
    <w:qFormat/>
    <w:uiPriority w:val="0"/>
    <w:rPr>
      <w:rFonts w:ascii="宋体" w:hAnsi="Courier New" w:cs="Courier New"/>
      <w:kern w:val="2"/>
      <w:sz w:val="21"/>
      <w:szCs w:val="21"/>
    </w:rPr>
  </w:style>
  <w:style w:type="paragraph" w:customStyle="1" w:styleId="34">
    <w:name w:val="UserStyle_0"/>
    <w:basedOn w:val="1"/>
    <w:qFormat/>
    <w:uiPriority w:val="0"/>
    <w:pPr>
      <w:snapToGrid w:val="0"/>
      <w:spacing w:line="500" w:lineRule="exact"/>
      <w:ind w:firstLine="602" w:firstLineChars="200"/>
      <w:jc w:val="left"/>
    </w:pPr>
    <w:rPr>
      <w:rFonts w:ascii="Calibri" w:hAnsi="Calibri" w:eastAsia="仿宋"/>
      <w:color w:val="000000"/>
      <w:sz w:val="18"/>
      <w:szCs w:val="18"/>
    </w:rPr>
  </w:style>
  <w:style w:type="character" w:customStyle="1" w:styleId="35">
    <w:name w:val="NormalCharacter"/>
    <w:semiHidden/>
    <w:qFormat/>
    <w:uiPriority w:val="0"/>
    <w:rPr>
      <w:rFonts w:hint="eastAsia" w:asciiTheme="minorHAnsi" w:hAnsiTheme="minorHAnsi" w:eastAsiaTheme="minorEastAsia" w:cstheme="minorBidi"/>
      <w:kern w:val="2"/>
      <w:sz w:val="21"/>
      <w:szCs w:val="22"/>
      <w:lang w:val="en-US" w:eastAsia="zh-CN" w:bidi="ar-SA"/>
    </w:rPr>
  </w:style>
  <w:style w:type="character" w:customStyle="1" w:styleId="36">
    <w:name w:val="页眉 字符"/>
    <w:basedOn w:val="13"/>
    <w:link w:val="9"/>
    <w:qFormat/>
    <w:uiPriority w:val="0"/>
    <w:rPr>
      <w:rFonts w:asciiTheme="minorHAnsi" w:hAnsiTheme="minorHAnsi" w:eastAsiaTheme="minorEastAsia" w:cstheme="minorBidi"/>
      <w:kern w:val="2"/>
      <w:sz w:val="18"/>
      <w:szCs w:val="18"/>
    </w:rPr>
  </w:style>
  <w:style w:type="character" w:customStyle="1" w:styleId="37">
    <w:name w:val="页脚 字符"/>
    <w:basedOn w:val="13"/>
    <w:link w:val="8"/>
    <w:qFormat/>
    <w:uiPriority w:val="0"/>
    <w:rPr>
      <w:rFonts w:asciiTheme="minorHAnsi" w:hAnsiTheme="minorHAnsi" w:eastAsiaTheme="minorEastAsia" w:cstheme="minorBidi"/>
      <w:kern w:val="2"/>
      <w:sz w:val="18"/>
      <w:szCs w:val="18"/>
    </w:rPr>
  </w:style>
  <w:style w:type="character" w:customStyle="1" w:styleId="38">
    <w:name w:val="批注文字 字符"/>
    <w:basedOn w:val="13"/>
    <w:link w:val="5"/>
    <w:semiHidden/>
    <w:qFormat/>
    <w:uiPriority w:val="0"/>
    <w:rPr>
      <w:rFonts w:asciiTheme="minorHAnsi" w:hAnsiTheme="minorHAnsi" w:eastAsiaTheme="minorEastAsia" w:cstheme="minorBidi"/>
      <w:kern w:val="2"/>
      <w:sz w:val="21"/>
      <w:szCs w:val="24"/>
    </w:rPr>
  </w:style>
  <w:style w:type="character" w:customStyle="1" w:styleId="39">
    <w:name w:val="批注主题 字符"/>
    <w:basedOn w:val="38"/>
    <w:link w:val="11"/>
    <w:semiHidden/>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9969</Words>
  <Characters>10374</Characters>
  <Lines>74</Lines>
  <Paragraphs>20</Paragraphs>
  <TotalTime>42</TotalTime>
  <ScaleCrop>false</ScaleCrop>
  <LinksUpToDate>false</LinksUpToDate>
  <CharactersWithSpaces>10381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2021-07-22T07:26:00Z</dcterms:created>
  <dc:creator>Administrator</dc:creator>
  <cp:lastModifiedBy>冬天的温暖</cp:lastModifiedBy>
  <dcterms:modified xsi:type="dcterms:W3CDTF">2022-06-28T04:36:22Z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852948103A4C4E8AB80FC72FD319C492</vt:lpwstr>
  </property>
</Properties>
</file>