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560" w:lineRule="exact"/>
        <w:ind w:left="0" w:leftChars="0" w:firstLine="0" w:firstLineChars="0"/>
        <w:jc w:val="left"/>
        <w:rPr>
          <w:rFonts w:hint="eastAsia" w:ascii="黑体" w:hAnsi="黑体" w:eastAsia="黑体" w:cs="黑体"/>
          <w:kern w:val="0"/>
          <w:sz w:val="40"/>
          <w:szCs w:val="40"/>
          <w:lang w:val="en-US" w:eastAsia="zh-CN"/>
        </w:rPr>
      </w:pPr>
      <w:bookmarkStart w:id="0" w:name="_GoBack"/>
      <w:bookmarkEnd w:id="0"/>
      <w:r>
        <w:rPr>
          <w:rFonts w:hint="eastAsia" w:ascii="黑体" w:hAnsi="黑体" w:eastAsia="黑体" w:cs="黑体"/>
          <w:kern w:val="0"/>
          <w:sz w:val="32"/>
          <w:szCs w:val="32"/>
          <w:lang w:val="en-US" w:eastAsia="zh-CN"/>
        </w:rPr>
        <w:t>附件</w:t>
      </w:r>
    </w:p>
    <w:p>
      <w:pPr>
        <w:pStyle w:val="2"/>
        <w:spacing w:after="0" w:line="560" w:lineRule="exact"/>
        <w:ind w:left="0" w:leftChars="0" w:firstLine="0" w:firstLineChars="0"/>
        <w:jc w:val="center"/>
        <w:rPr>
          <w:rFonts w:hint="eastAsia" w:ascii="方正小标宋简体" w:hAnsi="方正小标宋简体" w:eastAsia="方正小标宋简体" w:cs="方正小标宋简体"/>
          <w:kern w:val="0"/>
          <w:sz w:val="40"/>
          <w:szCs w:val="40"/>
        </w:rPr>
      </w:pPr>
      <w:r>
        <w:rPr>
          <w:rFonts w:hint="eastAsia" w:ascii="方正小标宋简体" w:hAnsi="方正小标宋简体" w:eastAsia="方正小标宋简体" w:cs="方正小标宋简体"/>
          <w:kern w:val="0"/>
          <w:sz w:val="40"/>
          <w:szCs w:val="40"/>
          <w:lang w:val="en-US" w:eastAsia="zh-CN"/>
        </w:rPr>
        <w:t>沙田乡</w:t>
      </w:r>
      <w:r>
        <w:rPr>
          <w:rFonts w:hint="eastAsia" w:ascii="方正小标宋简体" w:hAnsi="方正小标宋简体" w:eastAsia="方正小标宋简体" w:cs="方正小标宋简体"/>
          <w:kern w:val="0"/>
          <w:sz w:val="40"/>
          <w:szCs w:val="40"/>
        </w:rPr>
        <w:t>巩固拓展脱贫攻坚成果同乡村振兴有效衔接工作交办问题</w:t>
      </w:r>
    </w:p>
    <w:p>
      <w:pPr>
        <w:pStyle w:val="2"/>
        <w:spacing w:after="0" w:line="560" w:lineRule="exact"/>
        <w:ind w:left="0" w:leftChars="0" w:firstLine="0" w:firstLineChars="0"/>
        <w:jc w:val="center"/>
        <w:rPr>
          <w:rFonts w:hint="default" w:ascii="Times New Roman" w:hAnsi="Times New Roman" w:eastAsia="方正小标宋_GBK" w:cs="Times New Roman"/>
          <w:kern w:val="0"/>
          <w:sz w:val="40"/>
          <w:szCs w:val="40"/>
        </w:rPr>
      </w:pPr>
      <w:r>
        <w:rPr>
          <w:rFonts w:hint="eastAsia" w:ascii="方正小标宋简体" w:hAnsi="方正小标宋简体" w:eastAsia="方正小标宋简体" w:cs="方正小标宋简体"/>
          <w:kern w:val="0"/>
          <w:sz w:val="40"/>
          <w:szCs w:val="40"/>
        </w:rPr>
        <w:t>整改责任清单</w:t>
      </w:r>
    </w:p>
    <w:tbl>
      <w:tblPr>
        <w:tblStyle w:val="4"/>
        <w:tblW w:w="13145" w:type="dxa"/>
        <w:tblInd w:w="0" w:type="dxa"/>
        <w:tblLayout w:type="fixed"/>
        <w:tblCellMar>
          <w:top w:w="0" w:type="dxa"/>
          <w:left w:w="108" w:type="dxa"/>
          <w:bottom w:w="0" w:type="dxa"/>
          <w:right w:w="108" w:type="dxa"/>
        </w:tblCellMar>
      </w:tblPr>
      <w:tblGrid>
        <w:gridCol w:w="589"/>
        <w:gridCol w:w="594"/>
        <w:gridCol w:w="754"/>
        <w:gridCol w:w="3900"/>
        <w:gridCol w:w="3301"/>
        <w:gridCol w:w="2513"/>
        <w:gridCol w:w="1494"/>
      </w:tblGrid>
      <w:tr>
        <w:tblPrEx>
          <w:tblCellMar>
            <w:top w:w="0" w:type="dxa"/>
            <w:left w:w="108" w:type="dxa"/>
            <w:bottom w:w="0" w:type="dxa"/>
            <w:right w:w="108" w:type="dxa"/>
          </w:tblCellMar>
        </w:tblPrEx>
        <w:trPr>
          <w:trHeight w:val="320" w:hRule="atLeast"/>
          <w:tblHeader/>
        </w:trPr>
        <w:tc>
          <w:tcPr>
            <w:tcW w:w="589"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序号</w:t>
            </w:r>
          </w:p>
        </w:tc>
        <w:tc>
          <w:tcPr>
            <w:tcW w:w="5248"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存在问题</w:t>
            </w:r>
          </w:p>
        </w:tc>
        <w:tc>
          <w:tcPr>
            <w:tcW w:w="3301"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整改措施</w:t>
            </w:r>
          </w:p>
        </w:tc>
        <w:tc>
          <w:tcPr>
            <w:tcW w:w="2513"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lang w:eastAsia="zh-CN"/>
              </w:rPr>
            </w:pPr>
            <w:r>
              <w:rPr>
                <w:rFonts w:hint="default" w:ascii="Times New Roman" w:hAnsi="Times New Roman" w:eastAsia="黑体" w:cs="Times New Roman"/>
                <w:szCs w:val="21"/>
                <w:lang w:val="en-US" w:eastAsia="zh-CN"/>
              </w:rPr>
              <w:t>整改期限</w:t>
            </w:r>
          </w:p>
        </w:tc>
        <w:tc>
          <w:tcPr>
            <w:tcW w:w="1494"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责任单位</w:t>
            </w:r>
          </w:p>
        </w:tc>
      </w:tr>
      <w:tr>
        <w:tblPrEx>
          <w:tblCellMar>
            <w:top w:w="0" w:type="dxa"/>
            <w:left w:w="108" w:type="dxa"/>
            <w:bottom w:w="0" w:type="dxa"/>
            <w:right w:w="108" w:type="dxa"/>
          </w:tblCellMar>
        </w:tblPrEx>
        <w:trPr>
          <w:trHeight w:val="90" w:hRule="atLeast"/>
          <w:tblHeader/>
        </w:trPr>
        <w:tc>
          <w:tcPr>
            <w:tcW w:w="58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rPr>
                <w:rFonts w:hint="default" w:ascii="Times New Roman" w:hAnsi="Times New Roman" w:eastAsia="黑体" w:cs="Times New Roman"/>
                <w:szCs w:val="21"/>
              </w:rPr>
            </w:pPr>
          </w:p>
        </w:tc>
        <w:tc>
          <w:tcPr>
            <w:tcW w:w="59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问题</w:t>
            </w:r>
          </w:p>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来源</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问题</w:t>
            </w:r>
          </w:p>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类别</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textAlignment w:val="center"/>
              <w:rPr>
                <w:rFonts w:hint="default" w:ascii="Times New Roman" w:hAnsi="Times New Roman" w:eastAsia="黑体" w:cs="Times New Roman"/>
                <w:szCs w:val="21"/>
              </w:rPr>
            </w:pPr>
            <w:r>
              <w:rPr>
                <w:rFonts w:hint="default" w:ascii="Times New Roman" w:hAnsi="Times New Roman" w:eastAsia="黑体" w:cs="Times New Roman"/>
                <w:szCs w:val="21"/>
              </w:rPr>
              <w:t>具体表现</w:t>
            </w:r>
          </w:p>
        </w:tc>
        <w:tc>
          <w:tcPr>
            <w:tcW w:w="33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rPr>
                <w:rFonts w:hint="default" w:ascii="Times New Roman" w:hAnsi="Times New Roman" w:eastAsia="黑体" w:cs="Times New Roman"/>
                <w:szCs w:val="21"/>
              </w:rPr>
            </w:pPr>
          </w:p>
        </w:tc>
        <w:tc>
          <w:tcPr>
            <w:tcW w:w="251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rPr>
                <w:rFonts w:hint="default" w:ascii="Times New Roman" w:hAnsi="Times New Roman" w:eastAsia="黑体" w:cs="Times New Roman"/>
                <w:szCs w:val="21"/>
              </w:rPr>
            </w:pPr>
          </w:p>
        </w:tc>
        <w:tc>
          <w:tcPr>
            <w:tcW w:w="1494"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00" w:lineRule="exact"/>
              <w:ind w:left="-105" w:leftChars="-50" w:right="-105" w:rightChars="-50"/>
              <w:jc w:val="center"/>
              <w:rPr>
                <w:rFonts w:hint="default" w:ascii="Times New Roman" w:hAnsi="Times New Roman" w:eastAsia="黑体" w:cs="Times New Roman"/>
                <w:szCs w:val="21"/>
              </w:rPr>
            </w:pPr>
          </w:p>
        </w:tc>
      </w:tr>
      <w:tr>
        <w:tblPrEx>
          <w:tblCellMar>
            <w:top w:w="0" w:type="dxa"/>
            <w:left w:w="108" w:type="dxa"/>
            <w:bottom w:w="0" w:type="dxa"/>
            <w:right w:w="108" w:type="dxa"/>
          </w:tblCellMar>
        </w:tblPrEx>
        <w:trPr>
          <w:trHeight w:val="2058" w:hRule="atLeast"/>
          <w:tblHeader/>
        </w:trPr>
        <w:tc>
          <w:tcPr>
            <w:tcW w:w="58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1</w:t>
            </w:r>
          </w:p>
        </w:tc>
        <w:tc>
          <w:tcPr>
            <w:tcW w:w="594" w:type="dxa"/>
            <w:vMerge w:val="restart"/>
            <w:tcBorders>
              <w:top w:val="single" w:color="000000" w:sz="4" w:space="0"/>
              <w:left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省考反馈</w:t>
            </w:r>
          </w:p>
        </w:tc>
        <w:tc>
          <w:tcPr>
            <w:tcW w:w="754" w:type="dxa"/>
            <w:vMerge w:val="restart"/>
            <w:tcBorders>
              <w:top w:val="single" w:color="000000" w:sz="4" w:space="0"/>
              <w:left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防返贫监测帮扶机制落实</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易地搬迁后扶：个别安置点不动产证管理欠妥当。如宁乡市沙田乡石笋村有3户易地扶贫搬迁集中安置户，2018年交房入住，也进行了不动产登记，于2019年将产权证发放到户。2021年，为了整理档案，安置点管委会将各农户的产权证收回进行扫描归档，之后没有及时将产权证交还给农户。</w:t>
            </w:r>
          </w:p>
        </w:tc>
        <w:tc>
          <w:tcPr>
            <w:tcW w:w="330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1.将产权证全部发放至安置户手中；</w:t>
            </w:r>
          </w:p>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2.管委会、乡村振兴办及时掌握房屋实际使用情况，杜绝违规转让、买卖现象；</w:t>
            </w:r>
          </w:p>
          <w:p>
            <w:pPr>
              <w:adjustRightInd w:val="0"/>
              <w:snapToGrid w:val="0"/>
              <w:spacing w:line="220" w:lineRule="exact"/>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color w:val="auto"/>
                <w:sz w:val="21"/>
                <w:szCs w:val="21"/>
                <w:lang w:val="en-US" w:eastAsia="zh-CN"/>
              </w:rPr>
              <w:t>3.乡村振兴办、经济发展办、沙田村加强房屋安全问题排查，防范违法建设。</w:t>
            </w:r>
          </w:p>
        </w:tc>
        <w:tc>
          <w:tcPr>
            <w:tcW w:w="251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产权证于4月已发放到位</w:t>
            </w:r>
          </w:p>
          <w:p>
            <w:pPr>
              <w:pStyle w:val="2"/>
              <w:ind w:left="0" w:leftChars="0" w:firstLine="0" w:firstLineChars="0"/>
              <w:rPr>
                <w:rFonts w:hint="default" w:ascii="Times New Roman" w:hAnsi="Times New Roman" w:cs="Times New Roman"/>
                <w:lang w:val="en-US" w:eastAsia="zh-CN"/>
              </w:rPr>
            </w:pPr>
            <w:r>
              <w:rPr>
                <w:rFonts w:hint="default" w:ascii="Times New Roman" w:hAnsi="Times New Roman" w:eastAsia="仿宋" w:cs="Times New Roman"/>
                <w:kern w:val="2"/>
                <w:sz w:val="21"/>
                <w:szCs w:val="21"/>
                <w:lang w:val="en-US" w:eastAsia="zh-CN" w:bidi="ar-SA"/>
              </w:rPr>
              <w:t>房屋问题长期整改</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color w:val="auto"/>
                <w:sz w:val="21"/>
                <w:szCs w:val="21"/>
                <w:lang w:val="en-US" w:eastAsia="zh-CN"/>
              </w:rPr>
              <w:t>乡村振兴办、经济发展办、沙田村、石梅村</w:t>
            </w:r>
          </w:p>
        </w:tc>
      </w:tr>
      <w:tr>
        <w:tblPrEx>
          <w:tblCellMar>
            <w:top w:w="0" w:type="dxa"/>
            <w:left w:w="108" w:type="dxa"/>
            <w:bottom w:w="0" w:type="dxa"/>
            <w:right w:w="108" w:type="dxa"/>
          </w:tblCellMar>
        </w:tblPrEx>
        <w:trPr>
          <w:trHeight w:val="90" w:hRule="atLeast"/>
          <w:tblHeader/>
        </w:trPr>
        <w:tc>
          <w:tcPr>
            <w:tcW w:w="58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2</w:t>
            </w:r>
          </w:p>
        </w:tc>
        <w:tc>
          <w:tcPr>
            <w:tcW w:w="594" w:type="dxa"/>
            <w:vMerge w:val="continue"/>
            <w:tcBorders>
              <w:left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rPr>
            </w:pPr>
          </w:p>
        </w:tc>
        <w:tc>
          <w:tcPr>
            <w:tcW w:w="754" w:type="dxa"/>
            <w:vMerge w:val="continue"/>
            <w:tcBorders>
              <w:left w:val="single" w:color="000000"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540" w:lineRule="exact"/>
              <w:ind w:left="0" w:leftChars="0" w:firstLine="0" w:firstLineChars="0"/>
              <w:textAlignment w:val="auto"/>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极个别监测户人居环境整治还不彻底。</w:t>
            </w:r>
          </w:p>
          <w:p>
            <w:pPr>
              <w:adjustRightInd w:val="0"/>
              <w:snapToGrid w:val="0"/>
              <w:spacing w:line="220" w:lineRule="exact"/>
              <w:textAlignment w:val="center"/>
              <w:rPr>
                <w:rFonts w:hint="default" w:ascii="Times New Roman" w:hAnsi="Times New Roman" w:eastAsia="仿宋" w:cs="Times New Roman"/>
                <w:sz w:val="21"/>
                <w:szCs w:val="21"/>
              </w:rPr>
            </w:pPr>
          </w:p>
        </w:tc>
        <w:tc>
          <w:tcPr>
            <w:tcW w:w="330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1.脱贫户、监测户今年必须完成改厕；</w:t>
            </w:r>
          </w:p>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2.加大政策宣传引导；</w:t>
            </w:r>
          </w:p>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3.驻村工作队、结对帮扶责任人、党员开展帮扶、督促；</w:t>
            </w:r>
          </w:p>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4.脱贫户、监测户家庭人居环境整治情况纳入巩固拓展脱贫攻坚成果乡对村绩效考核内容。</w:t>
            </w:r>
          </w:p>
        </w:tc>
        <w:tc>
          <w:tcPr>
            <w:tcW w:w="2513" w:type="dxa"/>
            <w:tcBorders>
              <w:top w:val="single" w:color="000000" w:sz="4" w:space="0"/>
              <w:left w:val="single" w:color="000000" w:sz="4" w:space="0"/>
              <w:bottom w:val="single" w:color="000000" w:sz="4" w:space="0"/>
              <w:right w:val="single" w:color="000000"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改厕在年底前完成，人居环境整治长期进行</w:t>
            </w:r>
          </w:p>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自然资源与生态环境保护办、帮扶责任人、各村</w:t>
            </w:r>
          </w:p>
        </w:tc>
      </w:tr>
      <w:tr>
        <w:tblPrEx>
          <w:tblCellMar>
            <w:top w:w="0" w:type="dxa"/>
            <w:left w:w="108" w:type="dxa"/>
            <w:bottom w:w="0" w:type="dxa"/>
            <w:right w:w="108" w:type="dxa"/>
          </w:tblCellMar>
        </w:tblPrEx>
        <w:trPr>
          <w:trHeight w:val="1779" w:hRule="atLeast"/>
          <w:tblHeader/>
        </w:trPr>
        <w:tc>
          <w:tcPr>
            <w:tcW w:w="589" w:type="dxa"/>
            <w:tcBorders>
              <w:top w:val="single" w:color="000000" w:sz="4" w:space="0"/>
              <w:left w:val="single" w:color="000000" w:sz="4" w:space="0"/>
              <w:bottom w:val="single" w:color="auto"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lang w:val="en-US" w:eastAsia="zh-CN"/>
              </w:rPr>
            </w:pPr>
            <w:r>
              <w:rPr>
                <w:rFonts w:hint="default" w:ascii="Times New Roman" w:hAnsi="Times New Roman" w:eastAsia="仿宋" w:cs="Times New Roman"/>
                <w:sz w:val="21"/>
                <w:szCs w:val="21"/>
                <w:lang w:val="en-US" w:eastAsia="zh-CN"/>
              </w:rPr>
              <w:t>3</w:t>
            </w:r>
          </w:p>
        </w:tc>
        <w:tc>
          <w:tcPr>
            <w:tcW w:w="594" w:type="dxa"/>
            <w:vMerge w:val="continue"/>
            <w:tcBorders>
              <w:left w:val="single" w:color="000000" w:sz="4" w:space="0"/>
              <w:bottom w:val="single" w:color="auto"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rPr>
            </w:pPr>
          </w:p>
        </w:tc>
        <w:tc>
          <w:tcPr>
            <w:tcW w:w="754" w:type="dxa"/>
            <w:vMerge w:val="continue"/>
            <w:tcBorders>
              <w:left w:val="single" w:color="000000" w:sz="4" w:space="0"/>
              <w:bottom w:val="single" w:color="auto" w:sz="4" w:space="0"/>
              <w:right w:val="single" w:color="000000"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rPr>
            </w:pPr>
          </w:p>
        </w:tc>
        <w:tc>
          <w:tcPr>
            <w:tcW w:w="3900" w:type="dxa"/>
            <w:tcBorders>
              <w:top w:val="single" w:color="000000" w:sz="4" w:space="0"/>
              <w:left w:val="single" w:color="000000" w:sz="4" w:space="0"/>
              <w:bottom w:val="single" w:color="auto"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政策宣传：极个别脱贫户内生动力不足，在产业、就业发展上主观能动性不强，仍存在等靠要的现象。</w:t>
            </w:r>
          </w:p>
          <w:p>
            <w:pPr>
              <w:adjustRightInd w:val="0"/>
              <w:snapToGrid w:val="0"/>
              <w:spacing w:line="220" w:lineRule="exact"/>
              <w:textAlignment w:val="center"/>
              <w:rPr>
                <w:rFonts w:hint="default" w:ascii="Times New Roman" w:hAnsi="Times New Roman" w:eastAsia="仿宋" w:cs="Times New Roman"/>
                <w:sz w:val="21"/>
                <w:szCs w:val="21"/>
              </w:rPr>
            </w:pPr>
          </w:p>
        </w:tc>
        <w:tc>
          <w:tcPr>
            <w:tcW w:w="3301" w:type="dxa"/>
            <w:tcBorders>
              <w:top w:val="single" w:color="000000" w:sz="4" w:space="0"/>
              <w:left w:val="single" w:color="000000" w:sz="4" w:space="0"/>
              <w:bottom w:val="single" w:color="auto"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1.加强宣传教育，扶贫先扶志，扶思想扶精神；</w:t>
            </w:r>
          </w:p>
          <w:p>
            <w:pPr>
              <w:adjustRightInd w:val="0"/>
              <w:snapToGrid w:val="0"/>
              <w:spacing w:line="220" w:lineRule="exact"/>
              <w:textAlignment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2.组织技能培训，让脱贫户、监测户掌握一技之长；</w:t>
            </w:r>
          </w:p>
          <w:p>
            <w:pPr>
              <w:adjustRightInd w:val="0"/>
              <w:snapToGrid w:val="0"/>
              <w:spacing w:line="220" w:lineRule="exact"/>
              <w:textAlignment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3.因人施策，在产业发展上，加大大户、企业、合作社带动；在就业上，设置公益性岗位带动脱贫户、监测户就业。</w:t>
            </w:r>
          </w:p>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p>
        </w:tc>
        <w:tc>
          <w:tcPr>
            <w:tcW w:w="2513" w:type="dxa"/>
            <w:tcBorders>
              <w:top w:val="single" w:color="000000" w:sz="4" w:space="0"/>
              <w:left w:val="single" w:color="000000" w:sz="4" w:space="0"/>
              <w:bottom w:val="single" w:color="auto" w:sz="4" w:space="0"/>
              <w:right w:val="single" w:color="000000"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6月底前</w:t>
            </w:r>
          </w:p>
        </w:tc>
        <w:tc>
          <w:tcPr>
            <w:tcW w:w="1494" w:type="dxa"/>
            <w:tcBorders>
              <w:top w:val="single" w:color="000000" w:sz="4" w:space="0"/>
              <w:left w:val="single" w:color="000000" w:sz="4" w:space="0"/>
              <w:bottom w:val="single" w:color="auto" w:sz="4" w:space="0"/>
              <w:right w:val="single" w:color="000000" w:sz="4" w:space="0"/>
            </w:tcBorders>
            <w:noWrap w:val="0"/>
            <w:vAlign w:val="center"/>
          </w:tcPr>
          <w:p>
            <w:pPr>
              <w:adjustRightInd w:val="0"/>
              <w:snapToGrid w:val="0"/>
              <w:spacing w:line="220" w:lineRule="exact"/>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sz w:val="21"/>
                <w:szCs w:val="21"/>
              </w:rPr>
              <w:t>社会事务办、乡村振兴办、帮扶责任人、各村</w:t>
            </w: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4</w:t>
            </w:r>
          </w:p>
        </w:tc>
        <w:tc>
          <w:tcPr>
            <w:tcW w:w="59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脱贫人口增收：脱贫人口2021年人均纯收入增速不到全国脱贫地区农村居民人均可支配收入增速（11.6%）的二分之一。（4）2021年人均纯收入低于10000元的脱贫户共226户，其中宝云村28户，沙田村75户，石梅村17户，石笋村57户，五里村39户，长冲村10户，未消除监测户人均低于10000元的共17户，其中宝云村3户，沙田村3户，石梅村3户，石笋村4户，五里村1户，长冲村3户。</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收入核算，要杜绝闭门造车情况，要全面核准脱贫户收入来源，经营性收入、工资性收入、转移性收入、财产性收入要算全、算准，杜绝收入只算到6900元/人，就不再进行其他收入统计，“估计带统计”乱填数据现象；</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精准施策，精准帮扶。针对无劳动力家庭，落实应保尽保、应助尽助工作，确保各项兜底保障到位；针对有子女赡养的老人，督促落实好子女赡养义务；针对有劳动力的家庭，通过加大就业转移、开展就业服务、设置公益性岗位、落实一次性就业补贴等措施；针对有产业意愿的家庭，加大产业扶持力度实现脱贫户、监测户稳定增收</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3.委托帮扶、产业帮扶资产收益分红、光伏发电分红、公益性岗位设置向低收入家庭倾斜；</w:t>
            </w:r>
          </w:p>
          <w:p>
            <w:pPr>
              <w:adjustRightInd w:val="0"/>
              <w:snapToGrid w:val="0"/>
              <w:spacing w:line="220" w:lineRule="exact"/>
              <w:textAlignment w:val="center"/>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sz w:val="21"/>
                <w:szCs w:val="21"/>
                <w:u w:val="none"/>
              </w:rPr>
              <w:t>4.处理数据预警。根据乡村振兴局每季度下发的低收入家庭数据，进行家庭情况核实。</w:t>
            </w: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u w:val="none"/>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乡村振兴办、社会事务办、各村</w:t>
            </w: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5</w:t>
            </w:r>
          </w:p>
        </w:tc>
        <w:tc>
          <w:tcPr>
            <w:tcW w:w="59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基本医疗保障：极个别稳定脱贫人员对医疗保障参保报销政策调整的认可度还有待进一步提高。</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1.加大医疗保障调整政策宣传、教育；</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2.督促脱贫户按自缴金额全额自付参保，监测户财政补贴个人自缴减半缴费参保；</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3.脱贫户、监测户无能力缴费的，要采取救助、帮扶措施，确保脱贫户、监测户100%参保；</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4.自负医疗费用无力承担的，给予临时救助，开展募捐、社会帮扶、“防贫保”理赔等方式帮扶，确保“不致贫、不返贫”。</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乡村振兴办、社会事务办、各村</w:t>
            </w: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6</w:t>
            </w:r>
          </w:p>
        </w:tc>
        <w:tc>
          <w:tcPr>
            <w:tcW w:w="59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结对帮扶：极个别帮扶责任人帮扶措施不精准，帮扶成效不够明显。</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1.所有监测户安排一对一结对帮扶责任人；</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2.帮扶责任人要因人因户，精准施策，加强宣传、沟通，按“缺什么，补什么”要求，强化政策供给，精准发力；</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3.每季度进行帮扶走访；</w:t>
            </w: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乡村振兴办、帮扶责任人</w:t>
            </w: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7</w:t>
            </w:r>
          </w:p>
        </w:tc>
        <w:tc>
          <w:tcPr>
            <w:tcW w:w="59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乡村建设</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基础设施建设：乡村建设投入，特别是基础设施补短板项目，财政投入需进一步加大。</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1.基础设施建设项目要尽力而为，更要量力而行，严禁负债开展建设；</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2.要科学铺排建设项目，强化项目监管，杜绝盲目建设、违规建设；</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3.聚焦农村公共基础设施补短板项目，按“轻重缓急”有序铺排建设；</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4.财政资金、村级集体经济收入、后盾单位支持资金、社会资金要向“补短板”项目倾斜，杜绝形象工程、政绩工程。</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w:t>
            </w:r>
            <w:r>
              <w:rPr>
                <w:rFonts w:hint="default" w:ascii="Times New Roman" w:hAnsi="Times New Roman" w:eastAsia="仿宋" w:cs="Times New Roman"/>
                <w:sz w:val="21"/>
                <w:szCs w:val="21"/>
                <w:u w:val="none"/>
                <w:lang w:val="en-US" w:eastAsia="zh-CN"/>
              </w:rPr>
              <w:t>驻村一书记、</w:t>
            </w:r>
            <w:r>
              <w:rPr>
                <w:rFonts w:hint="default" w:ascii="Times New Roman" w:hAnsi="Times New Roman" w:eastAsia="仿宋" w:cs="Times New Roman"/>
                <w:sz w:val="21"/>
                <w:szCs w:val="21"/>
                <w:u w:val="none"/>
              </w:rPr>
              <w:t>各村</w:t>
            </w:r>
          </w:p>
        </w:tc>
      </w:tr>
      <w:tr>
        <w:tblPrEx>
          <w:tblCellMar>
            <w:top w:w="0" w:type="dxa"/>
            <w:left w:w="108" w:type="dxa"/>
            <w:bottom w:w="0" w:type="dxa"/>
            <w:right w:w="108" w:type="dxa"/>
          </w:tblCellMar>
        </w:tblPrEx>
        <w:trPr>
          <w:trHeight w:val="1795"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8</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摸</w:t>
            </w:r>
            <w:r>
              <w:rPr>
                <w:rFonts w:hint="default" w:ascii="Times New Roman" w:hAnsi="Times New Roman" w:eastAsia="仿宋" w:cs="Times New Roman"/>
                <w:sz w:val="21"/>
                <w:szCs w:val="21"/>
              </w:rPr>
              <w:t>底排查</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rPr>
              <w:t>3+1保障达标问题</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医疗保障问题：支出较大，存在返贫、致贫风险。</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1.对医疗费用支出大、达到纳入监测标准的，要做到“应纳尽纳”、“应帮尽帮”；</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2.加大救助、募捐、爱心帮扶、防贫综合保险理赔力度。</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乡村振兴办、社会事务办、各村</w:t>
            </w:r>
          </w:p>
          <w:p>
            <w:pPr>
              <w:adjustRightInd w:val="0"/>
              <w:snapToGrid w:val="0"/>
              <w:spacing w:line="220" w:lineRule="exact"/>
              <w:textAlignment w:val="center"/>
              <w:rPr>
                <w:rFonts w:hint="default" w:ascii="Times New Roman" w:hAnsi="Times New Roman" w:eastAsia="仿宋" w:cs="Times New Roman"/>
                <w:sz w:val="21"/>
                <w:szCs w:val="21"/>
                <w:u w:val="none"/>
              </w:rPr>
            </w:pP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9</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摸底排查</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3+1保障达标问题</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住房保障问题：</w:t>
            </w:r>
            <w:r>
              <w:rPr>
                <w:rFonts w:hint="default" w:ascii="Times New Roman" w:hAnsi="Times New Roman" w:eastAsia="仿宋" w:cs="Times New Roman"/>
                <w:sz w:val="21"/>
                <w:szCs w:val="21"/>
                <w:u w:val="none"/>
                <w:lang w:val="en-US" w:eastAsia="zh-CN"/>
              </w:rPr>
              <w:t>排查</w:t>
            </w:r>
            <w:r>
              <w:rPr>
                <w:rFonts w:hint="eastAsia" w:ascii="Times New Roman" w:hAnsi="Times New Roman" w:eastAsia="仿宋" w:cs="Times New Roman"/>
                <w:sz w:val="21"/>
                <w:szCs w:val="21"/>
                <w:u w:val="none"/>
                <w:lang w:val="en-US" w:eastAsia="zh-CN"/>
              </w:rPr>
              <w:t>自建房隐患</w:t>
            </w:r>
            <w:r>
              <w:rPr>
                <w:rFonts w:hint="default" w:ascii="Times New Roman" w:hAnsi="Times New Roman" w:eastAsia="仿宋" w:cs="Times New Roman"/>
                <w:sz w:val="21"/>
                <w:szCs w:val="21"/>
                <w:u w:val="none"/>
                <w:lang w:val="en-US" w:eastAsia="zh-CN"/>
              </w:rPr>
              <w:t>84</w:t>
            </w:r>
            <w:r>
              <w:rPr>
                <w:rFonts w:hint="eastAsia" w:ascii="Times New Roman" w:hAnsi="Times New Roman" w:eastAsia="仿宋" w:cs="Times New Roman"/>
                <w:sz w:val="21"/>
                <w:szCs w:val="21"/>
                <w:u w:val="none"/>
                <w:lang w:val="en-US" w:eastAsia="zh-CN"/>
              </w:rPr>
              <w:t>栋</w:t>
            </w:r>
            <w:r>
              <w:rPr>
                <w:rFonts w:hint="default" w:ascii="Times New Roman" w:hAnsi="Times New Roman" w:eastAsia="仿宋" w:cs="Times New Roman"/>
                <w:sz w:val="21"/>
                <w:szCs w:val="21"/>
                <w:u w:val="none"/>
                <w:lang w:val="en-US" w:eastAsia="zh-CN"/>
              </w:rPr>
              <w:t>，</w:t>
            </w:r>
            <w:r>
              <w:rPr>
                <w:rFonts w:hint="eastAsia" w:ascii="Times New Roman" w:hAnsi="Times New Roman" w:eastAsia="仿宋" w:cs="Times New Roman"/>
                <w:sz w:val="21"/>
                <w:szCs w:val="21"/>
                <w:u w:val="none"/>
                <w:lang w:val="en-US" w:eastAsia="zh-CN"/>
              </w:rPr>
              <w:t>其中宝云村5栋，沙田村29栋，石梅村11栋，石笋村14栋，五里村19栋，长冲村6栋</w:t>
            </w:r>
            <w:r>
              <w:rPr>
                <w:rFonts w:hint="default" w:ascii="Times New Roman" w:hAnsi="Times New Roman" w:eastAsia="仿宋" w:cs="Times New Roman"/>
                <w:sz w:val="21"/>
                <w:szCs w:val="21"/>
                <w:u w:val="none"/>
                <w:lang w:val="en-US" w:eastAsia="zh-CN"/>
              </w:rPr>
              <w:t>。</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1.对前期排查出的疑似危房户，要通过“一户一策”，全面在7月底前消除风险；</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2.新建、修缮过程中，要做到基本功能完善，防止违规、豪华建设；</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3.全力整改“老年人口住危房”现象，督促子女赡养共同居住或修缮；</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4.放弃危改户、无房户必须要有放弃承诺书，并确保有长期、安全、稳定住房；</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5.符合危改条件的，进行安全、合规建房。</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7月20日前</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乡村振兴办、社会事务办、农业综合服务中心、</w:t>
            </w:r>
            <w:r>
              <w:rPr>
                <w:rFonts w:hint="eastAsia" w:eastAsia="仿宋" w:cs="Times New Roman"/>
                <w:sz w:val="21"/>
                <w:szCs w:val="21"/>
                <w:u w:val="none"/>
                <w:lang w:val="en-US" w:eastAsia="zh-CN"/>
              </w:rPr>
              <w:t>经济发展办、</w:t>
            </w:r>
            <w:r>
              <w:rPr>
                <w:rFonts w:hint="default" w:ascii="Times New Roman" w:hAnsi="Times New Roman" w:eastAsia="仿宋" w:cs="Times New Roman"/>
                <w:sz w:val="21"/>
                <w:szCs w:val="21"/>
                <w:u w:val="none"/>
              </w:rPr>
              <w:t>各村</w:t>
            </w:r>
          </w:p>
        </w:tc>
      </w:tr>
      <w:tr>
        <w:tblPrEx>
          <w:tblCellMar>
            <w:top w:w="0" w:type="dxa"/>
            <w:left w:w="108" w:type="dxa"/>
            <w:bottom w:w="0" w:type="dxa"/>
            <w:right w:w="108" w:type="dxa"/>
          </w:tblCellMar>
        </w:tblPrEx>
        <w:trPr>
          <w:trHeight w:val="2335"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10</w:t>
            </w:r>
          </w:p>
        </w:tc>
        <w:tc>
          <w:tcPr>
            <w:tcW w:w="594" w:type="dxa"/>
            <w:vMerge w:val="restart"/>
            <w:tcBorders>
              <w:top w:val="single" w:color="auto" w:sz="4" w:space="0"/>
              <w:left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月考核</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rPr>
              <w:t>系统数据处理</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防止返贫动态监测和帮扶：未按要求在规定时间内完成建档户APP位置采集：宝云村李小平户；</w:t>
            </w: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1.及时、准确、全面采集录入、修正相关信息数据（宝云村李小平户</w:t>
            </w:r>
            <w:r>
              <w:rPr>
                <w:rFonts w:hint="default" w:ascii="Times New Roman" w:hAnsi="Times New Roman" w:eastAsia="仿宋" w:cs="Times New Roman"/>
                <w:sz w:val="21"/>
                <w:szCs w:val="21"/>
                <w:u w:val="none"/>
                <w:lang w:eastAsia="zh-CN"/>
              </w:rPr>
              <w:t>位置</w:t>
            </w:r>
            <w:r>
              <w:rPr>
                <w:rFonts w:hint="default" w:ascii="Times New Roman" w:hAnsi="Times New Roman" w:eastAsia="仿宋" w:cs="Times New Roman"/>
                <w:sz w:val="21"/>
                <w:szCs w:val="21"/>
                <w:u w:val="none"/>
              </w:rPr>
              <w:t>信息于4月采集完成）；</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2.6月底前，各档外纳入农户位置采集由村实地采集全部到位。</w:t>
            </w: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rPr>
              <w:t>各村</w:t>
            </w:r>
            <w:r>
              <w:rPr>
                <w:rFonts w:hint="default" w:ascii="Times New Roman" w:hAnsi="Times New Roman" w:eastAsia="仿宋" w:cs="Times New Roman"/>
                <w:sz w:val="21"/>
                <w:szCs w:val="21"/>
                <w:u w:val="none"/>
                <w:lang w:eastAsia="zh-CN"/>
              </w:rPr>
              <w:t>、</w:t>
            </w:r>
            <w:r>
              <w:rPr>
                <w:rFonts w:hint="default" w:ascii="Times New Roman" w:hAnsi="Times New Roman" w:eastAsia="仿宋" w:cs="Times New Roman"/>
                <w:sz w:val="21"/>
                <w:szCs w:val="21"/>
                <w:u w:val="none"/>
                <w:lang w:val="en-US" w:eastAsia="zh-CN"/>
              </w:rPr>
              <w:t>帮扶责任人</w:t>
            </w:r>
          </w:p>
          <w:p>
            <w:pPr>
              <w:adjustRightInd w:val="0"/>
              <w:snapToGrid w:val="0"/>
              <w:spacing w:line="220" w:lineRule="exact"/>
              <w:textAlignment w:val="center"/>
              <w:rPr>
                <w:rFonts w:hint="default" w:ascii="Times New Roman" w:hAnsi="Times New Roman" w:eastAsia="仿宋" w:cs="Times New Roman"/>
                <w:sz w:val="21"/>
                <w:szCs w:val="21"/>
                <w:u w:val="none"/>
              </w:rPr>
            </w:pP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11</w:t>
            </w:r>
          </w:p>
        </w:tc>
        <w:tc>
          <w:tcPr>
            <w:tcW w:w="594"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rPr>
              <w:t>3+1保障问题</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3+1保障问题整改：整改台</w:t>
            </w:r>
            <w:r>
              <w:rPr>
                <w:rFonts w:hint="default" w:ascii="Times New Roman" w:hAnsi="Times New Roman" w:eastAsia="仿宋" w:cs="Times New Roman"/>
                <w:sz w:val="21"/>
                <w:szCs w:val="21"/>
                <w:u w:val="none"/>
                <w:lang w:val="en-US" w:eastAsia="zh-CN"/>
              </w:rPr>
              <w:t>账</w:t>
            </w:r>
            <w:r>
              <w:rPr>
                <w:rFonts w:hint="default" w:ascii="Times New Roman" w:hAnsi="Times New Roman" w:eastAsia="仿宋" w:cs="Times New Roman"/>
                <w:sz w:val="21"/>
                <w:szCs w:val="21"/>
                <w:u w:val="none"/>
              </w:rPr>
              <w:t>上报不及时、账实不符。</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1.开展常态化问题排查，特别是3+1保障到位情况，制定排查问题清单，制定问题整改措施、明确整改主体和整改时限。</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2.及时开展问题整改，</w:t>
            </w:r>
            <w:r>
              <w:rPr>
                <w:rFonts w:hint="default" w:ascii="Times New Roman" w:hAnsi="Times New Roman" w:eastAsia="仿宋" w:cs="Times New Roman"/>
                <w:sz w:val="21"/>
                <w:szCs w:val="21"/>
                <w:u w:val="none"/>
                <w:lang w:eastAsia="zh-CN"/>
              </w:rPr>
              <w:t>实时</w:t>
            </w:r>
            <w:r>
              <w:rPr>
                <w:rFonts w:hint="default" w:ascii="Times New Roman" w:hAnsi="Times New Roman" w:eastAsia="仿宋" w:cs="Times New Roman"/>
                <w:sz w:val="21"/>
                <w:szCs w:val="21"/>
                <w:u w:val="none"/>
              </w:rPr>
              <w:t>跟进落实，实现问题动态清零。</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3.及时整理归档相关工作资料，相关信息</w:t>
            </w:r>
            <w:r>
              <w:rPr>
                <w:rFonts w:hint="default" w:ascii="Times New Roman" w:hAnsi="Times New Roman" w:eastAsia="仿宋" w:cs="Times New Roman"/>
                <w:sz w:val="21"/>
                <w:szCs w:val="21"/>
                <w:u w:val="none"/>
                <w:lang w:eastAsia="zh-CN"/>
              </w:rPr>
              <w:t>及</w:t>
            </w:r>
            <w:r>
              <w:rPr>
                <w:rFonts w:hint="default" w:ascii="Times New Roman" w:hAnsi="Times New Roman" w:eastAsia="仿宋" w:cs="Times New Roman"/>
                <w:sz w:val="21"/>
                <w:szCs w:val="21"/>
                <w:u w:val="none"/>
              </w:rPr>
              <w:t>时录入系统。</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乡村振兴办、各村</w:t>
            </w: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12</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月考核</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rPr>
              <w:t>医疗保障</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医疗保障问题：未参保、未提供参保有效证明。</w:t>
            </w:r>
          </w:p>
          <w:p>
            <w:pPr>
              <w:adjustRightInd w:val="0"/>
              <w:snapToGrid w:val="0"/>
              <w:spacing w:line="220" w:lineRule="exact"/>
              <w:textAlignment w:val="center"/>
              <w:rPr>
                <w:rFonts w:hint="default" w:ascii="Times New Roman" w:hAnsi="Times New Roman" w:eastAsia="仿宋" w:cs="Times New Roman"/>
                <w:sz w:val="21"/>
                <w:szCs w:val="21"/>
                <w:u w:val="none"/>
              </w:rPr>
            </w:pP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1.全面核查脱贫户、监测户医疗保障落实情况，建立健全工作台账。</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2.异地参保、参加城镇职工医疗保险、在读大学生在校参保的要备齐相关佐证资料备查。</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3.加大宣传力度，动员脱贫户、监测户主动参保。</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6月底前</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乡村振兴办、社会事务办、各村</w:t>
            </w:r>
          </w:p>
          <w:p>
            <w:pPr>
              <w:adjustRightInd w:val="0"/>
              <w:snapToGrid w:val="0"/>
              <w:spacing w:line="220" w:lineRule="exact"/>
              <w:textAlignment w:val="center"/>
              <w:rPr>
                <w:rFonts w:hint="default" w:ascii="Times New Roman" w:hAnsi="Times New Roman" w:eastAsia="仿宋" w:cs="Times New Roman"/>
                <w:sz w:val="21"/>
                <w:szCs w:val="21"/>
                <w:u w:val="none"/>
              </w:rPr>
            </w:pPr>
          </w:p>
        </w:tc>
      </w:tr>
      <w:tr>
        <w:tblPrEx>
          <w:tblCellMar>
            <w:top w:w="0" w:type="dxa"/>
            <w:left w:w="108" w:type="dxa"/>
            <w:bottom w:w="0" w:type="dxa"/>
            <w:right w:w="108" w:type="dxa"/>
          </w:tblCellMar>
        </w:tblPrEx>
        <w:trPr>
          <w:trHeight w:val="9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13</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月考核</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rPr>
              <w:t>光伏帮扶</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光伏帮扶：收益使用不规范，未按80%设置公益性岗位及上报资料不及时。</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1.按照省要求光伏发电收入必须80%以上用于解决脱贫户、监测户增收问题及临时救济救助。</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2.通过设置公益性岗位或聘请脱贫户监测户参加乡村公益事业建设，实现脱贫户、监测户增收。</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3.加强村级光伏发电站日常运维和管护，确保光伏发电站正常运营。</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4.按程序召开相关会议确定公益性岗位安置对象及工资标准，并及时公示公告。</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5.及时归档整理上报相关资料，并在系统中录入相关信息。</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乡村振兴办、沙田村、宝云村、石笋村</w:t>
            </w:r>
          </w:p>
        </w:tc>
      </w:tr>
      <w:tr>
        <w:tblPrEx>
          <w:tblCellMar>
            <w:top w:w="0" w:type="dxa"/>
            <w:left w:w="108" w:type="dxa"/>
            <w:bottom w:w="0" w:type="dxa"/>
            <w:right w:w="108" w:type="dxa"/>
          </w:tblCellMar>
        </w:tblPrEx>
        <w:trPr>
          <w:trHeight w:val="5965"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14</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专项督查</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sz w:val="21"/>
                <w:szCs w:val="21"/>
              </w:rPr>
              <w:t>驻村工作</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驻村工作：1.部分驻村工作队未扎实执行考勤管理和联系群众的工作制度（月驻村工作日志不足20篇；存在走读现象；驻村队员未全脱产驻村；对脱贫户、监测户走访不到位。）</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2.对基层党建工作重视</w:t>
            </w:r>
            <w:r>
              <w:rPr>
                <w:rFonts w:hint="default" w:ascii="Times New Roman" w:hAnsi="Times New Roman" w:eastAsia="仿宋" w:cs="Times New Roman"/>
                <w:sz w:val="21"/>
                <w:szCs w:val="21"/>
                <w:u w:val="none"/>
                <w:lang w:eastAsia="zh-CN"/>
              </w:rPr>
              <w:t>程</w:t>
            </w:r>
            <w:r>
              <w:rPr>
                <w:rFonts w:hint="default" w:ascii="Times New Roman" w:hAnsi="Times New Roman" w:eastAsia="仿宋" w:cs="Times New Roman"/>
                <w:sz w:val="21"/>
                <w:szCs w:val="21"/>
                <w:u w:val="none"/>
              </w:rPr>
              <w:t>度不够（参与村级党建工作较少；同支村两委协同作战不够。）3.对村级集体经济发展思考不够深入（未制定村级集体经济发展规划或制定的发展规划内容空洞。）</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1.驻村干部必须脱产驻村，驻村20天以上、在村住宿达到8晚以上，并严格做好考勤记录。必须严格把关相关驻村费用的申报，做到实事求是；</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驻村工作队要把巩固脱贫攻坚成果作为底线任务和首要任务，年度内走访脱贫户不少于两次，监测户每季度走访不少于1次，及时掌握返贫及致贫风险，稳定增收情况及政策落实情况，按照缺什么补什么的原则，精准帮扶。</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3.加强基层党的建设，发挥驻村第一书记作用，积极融入所驻村党支部，组织开展党的相关活动及学习，指导村级工作开展等。</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4.合理安排帮扶资金，盘活村级集体资产，策划村级集体经济发展项目，实现村级集体经济收入50万元以上目标。</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5.加强村级建设项目监管。</w:t>
            </w: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6月底前</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lang w:eastAsia="zh-CN"/>
              </w:rPr>
            </w:pPr>
            <w:r>
              <w:rPr>
                <w:rFonts w:hint="default" w:ascii="Times New Roman" w:hAnsi="Times New Roman" w:eastAsia="仿宋" w:cs="Times New Roman"/>
                <w:sz w:val="21"/>
                <w:szCs w:val="21"/>
                <w:u w:val="none"/>
              </w:rPr>
              <w:t>党建办、驻村工作队</w:t>
            </w:r>
            <w:r>
              <w:rPr>
                <w:rFonts w:hint="default" w:ascii="Times New Roman" w:hAnsi="Times New Roman" w:eastAsia="仿宋" w:cs="Times New Roman"/>
                <w:sz w:val="21"/>
                <w:szCs w:val="21"/>
                <w:u w:val="none"/>
                <w:lang w:eastAsia="zh-CN"/>
              </w:rPr>
              <w:t>、乡村振兴办</w:t>
            </w:r>
          </w:p>
        </w:tc>
      </w:tr>
      <w:tr>
        <w:tblPrEx>
          <w:tblCellMar>
            <w:top w:w="0" w:type="dxa"/>
            <w:left w:w="108" w:type="dxa"/>
            <w:bottom w:w="0" w:type="dxa"/>
            <w:right w:w="108" w:type="dxa"/>
          </w:tblCellMar>
        </w:tblPrEx>
        <w:trPr>
          <w:trHeight w:val="2210" w:hRule="atLeast"/>
          <w:tblHeader/>
        </w:trPr>
        <w:tc>
          <w:tcPr>
            <w:tcW w:w="5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15</w:t>
            </w:r>
          </w:p>
        </w:tc>
        <w:tc>
          <w:tcPr>
            <w:tcW w:w="5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日常督查</w:t>
            </w:r>
          </w:p>
          <w:p>
            <w:pPr>
              <w:adjustRightInd w:val="0"/>
              <w:snapToGrid w:val="0"/>
              <w:spacing w:line="220" w:lineRule="exact"/>
              <w:jc w:val="center"/>
              <w:textAlignment w:val="center"/>
              <w:rPr>
                <w:rFonts w:hint="default" w:ascii="Times New Roman" w:hAnsi="Times New Roman" w:eastAsia="仿宋" w:cs="Times New Roman"/>
                <w:sz w:val="21"/>
                <w:szCs w:val="21"/>
                <w:u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jc w:val="center"/>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rPr>
              <w:t>项目资金监管</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1.2021年铺排项目6个，项目申报材料不按时提交，目前还未提交申报资料的项目主体为：长沙强飞农业科技有限公司、宁乡市惠同农业综合开发专业合作社、长沙农禾元农业发展有限公司。2.资金使用不规范，拨付不及时。</w:t>
            </w:r>
          </w:p>
        </w:tc>
        <w:tc>
          <w:tcPr>
            <w:tcW w:w="33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1.及时归档、整理、上报项目实施相关资料，全程痕迹管理到位。</w:t>
            </w:r>
          </w:p>
          <w:p>
            <w:pPr>
              <w:adjustRightInd w:val="0"/>
              <w:snapToGrid w:val="0"/>
              <w:spacing w:line="220" w:lineRule="exact"/>
              <w:textAlignment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2.及时、足额拨付相关资金，6月底前拨付产业帮扶项目资金至项目主体达60%以上，项目序时推进到位。</w:t>
            </w:r>
          </w:p>
          <w:p>
            <w:pPr>
              <w:adjustRightInd w:val="0"/>
              <w:snapToGrid w:val="0"/>
              <w:spacing w:line="220" w:lineRule="exact"/>
              <w:textAlignment w:val="center"/>
              <w:rPr>
                <w:rFonts w:hint="default" w:ascii="Times New Roman" w:hAnsi="Times New Roman" w:eastAsia="仿宋" w:cs="Times New Roman"/>
                <w:sz w:val="21"/>
                <w:szCs w:val="21"/>
                <w:u w:val="none"/>
              </w:rPr>
            </w:pPr>
          </w:p>
        </w:tc>
        <w:tc>
          <w:tcPr>
            <w:tcW w:w="2513"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0" w:firstLineChars="0"/>
              <w:jc w:val="center"/>
              <w:rPr>
                <w:rFonts w:hint="default" w:ascii="Times New Roman" w:hAnsi="Times New Roman" w:eastAsia="仿宋" w:cs="Times New Roman"/>
                <w:kern w:val="2"/>
                <w:sz w:val="21"/>
                <w:szCs w:val="21"/>
                <w:lang w:val="en-US" w:eastAsia="zh-CN" w:bidi="ar-SA"/>
              </w:rPr>
            </w:pPr>
            <w:r>
              <w:rPr>
                <w:rFonts w:hint="default" w:ascii="Times New Roman" w:hAnsi="Times New Roman" w:eastAsia="仿宋" w:cs="Times New Roman"/>
                <w:kern w:val="2"/>
                <w:sz w:val="21"/>
                <w:szCs w:val="21"/>
                <w:lang w:val="en-US" w:eastAsia="zh-CN" w:bidi="ar-SA"/>
              </w:rPr>
              <w:t>长期</w:t>
            </w:r>
          </w:p>
        </w:tc>
        <w:tc>
          <w:tcPr>
            <w:tcW w:w="14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20" w:lineRule="exact"/>
              <w:textAlignment w:val="center"/>
              <w:rPr>
                <w:rFonts w:hint="default" w:ascii="Times New Roman" w:hAnsi="Times New Roman" w:eastAsia="仿宋" w:cs="Times New Roman"/>
                <w:sz w:val="21"/>
                <w:szCs w:val="21"/>
                <w:u w:val="none"/>
                <w:lang w:eastAsia="zh-CN"/>
              </w:rPr>
            </w:pPr>
            <w:r>
              <w:rPr>
                <w:rFonts w:hint="default" w:ascii="Times New Roman" w:hAnsi="Times New Roman" w:eastAsia="仿宋" w:cs="Times New Roman"/>
                <w:sz w:val="21"/>
                <w:szCs w:val="21"/>
                <w:u w:val="none"/>
              </w:rPr>
              <w:t>乡村振兴办、产业项目主体、财政所</w:t>
            </w:r>
            <w:r>
              <w:rPr>
                <w:rFonts w:hint="default" w:ascii="Times New Roman" w:hAnsi="Times New Roman" w:eastAsia="仿宋" w:cs="Times New Roman"/>
                <w:sz w:val="21"/>
                <w:szCs w:val="21"/>
                <w:u w:val="none"/>
                <w:lang w:eastAsia="zh-CN"/>
              </w:rPr>
              <w:t>、</w:t>
            </w:r>
            <w:r>
              <w:rPr>
                <w:rFonts w:hint="default" w:ascii="Times New Roman" w:hAnsi="Times New Roman" w:eastAsia="仿宋" w:cs="Times New Roman"/>
                <w:sz w:val="21"/>
                <w:szCs w:val="21"/>
                <w:u w:val="none"/>
                <w:lang w:val="en-US" w:eastAsia="zh-CN"/>
              </w:rPr>
              <w:t>各村</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YmY5MjdlOTRmNGEzMDI4NzcyOWUyYTQ5ZWY1MDQifQ=="/>
  </w:docVars>
  <w:rsids>
    <w:rsidRoot w:val="7C6C7B35"/>
    <w:rsid w:val="4F755442"/>
    <w:rsid w:val="7C6C7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rPr>
      <w:rFonts w:ascii="Times New Roman" w:hAnsi="Times New Roman" w:eastAsia="宋体" w:cs="Times New Roman"/>
      <w:szCs w:val="24"/>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3362</Words>
  <Characters>3499</Characters>
  <Lines>0</Lines>
  <Paragraphs>0</Paragraphs>
  <TotalTime>0</TotalTime>
  <ScaleCrop>false</ScaleCrop>
  <LinksUpToDate>false</LinksUpToDate>
  <CharactersWithSpaces>3499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2022-09-07T06:50:00Z</dcterms:created>
  <dc:creator>很多木头</dc:creator>
  <cp:lastModifiedBy>很多木头</cp:lastModifiedBy>
  <dcterms:modified xsi:type="dcterms:W3CDTF">2022-09-07T06:51:59Z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2010B11F0CFE48AF94C2538B889B683B</vt:lpwstr>
  </property>
</Properties>
</file>