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val="0"/>
        <w:autoSpaceDN w:val="0"/>
        <w:bidi w:val="0"/>
        <w:adjustRightInd w:val="0"/>
        <w:snapToGrid w:val="0"/>
        <w:spacing w:line="560" w:lineRule="exact"/>
        <w:ind w:firstLine="0" w:firstLineChars="0"/>
        <w:textAlignment w:val="baseline"/>
        <w:rPr>
          <w:rFonts w:hint="default" w:ascii="Times New Roman" w:hAnsi="Times New Roman" w:cs="Times New Roman"/>
          <w:highlight w:val="none"/>
        </w:rPr>
      </w:pPr>
    </w:p>
    <w:p>
      <w:pPr>
        <w:keepNext w:val="0"/>
        <w:keepLines w:val="0"/>
        <w:pageBreakBefore w:val="0"/>
        <w:kinsoku/>
        <w:wordWrap/>
        <w:overflowPunct/>
        <w:topLinePunct w:val="0"/>
        <w:autoSpaceDE w:val="0"/>
        <w:autoSpaceDN w:val="0"/>
        <w:bidi w:val="0"/>
        <w:adjustRightInd w:val="0"/>
        <w:snapToGrid w:val="0"/>
        <w:spacing w:line="560" w:lineRule="exact"/>
        <w:ind w:firstLine="0" w:firstLineChars="0"/>
        <w:textAlignment w:val="baseline"/>
        <w:rPr>
          <w:rFonts w:hint="default" w:ascii="Times New Roman" w:hAnsi="Times New Roman" w:cs="Times New Roman"/>
          <w:highlight w:val="none"/>
        </w:rPr>
      </w:pPr>
    </w:p>
    <w:p>
      <w:pPr>
        <w:keepNext w:val="0"/>
        <w:keepLines w:val="0"/>
        <w:pageBreakBefore w:val="0"/>
        <w:kinsoku/>
        <w:wordWrap/>
        <w:overflowPunct/>
        <w:topLinePunct w:val="0"/>
        <w:autoSpaceDE w:val="0"/>
        <w:autoSpaceDN w:val="0"/>
        <w:bidi w:val="0"/>
        <w:adjustRightInd w:val="0"/>
        <w:snapToGrid w:val="0"/>
        <w:spacing w:line="560" w:lineRule="exact"/>
        <w:ind w:firstLine="0" w:firstLineChars="0"/>
        <w:textAlignment w:val="baseline"/>
        <w:rPr>
          <w:rFonts w:hint="default" w:ascii="Times New Roman" w:hAnsi="Times New Roman" w:cs="Times New Roman"/>
          <w:highlight w:val="none"/>
        </w:rPr>
      </w:pPr>
    </w:p>
    <w:p>
      <w:pPr>
        <w:keepNext w:val="0"/>
        <w:keepLines w:val="0"/>
        <w:pageBreakBefore w:val="0"/>
        <w:kinsoku/>
        <w:wordWrap/>
        <w:overflowPunct/>
        <w:topLinePunct w:val="0"/>
        <w:autoSpaceDE w:val="0"/>
        <w:autoSpaceDN w:val="0"/>
        <w:bidi w:val="0"/>
        <w:adjustRightInd w:val="0"/>
        <w:snapToGrid w:val="0"/>
        <w:spacing w:line="560" w:lineRule="exact"/>
        <w:ind w:firstLine="0" w:firstLineChars="0"/>
        <w:textAlignment w:val="baseline"/>
        <w:rPr>
          <w:rFonts w:hint="default" w:ascii="Times New Roman" w:hAnsi="Times New Roman" w:cs="Times New Roman"/>
          <w:highlight w:val="none"/>
        </w:rPr>
      </w:pPr>
    </w:p>
    <w:p>
      <w:pPr>
        <w:pStyle w:val="12"/>
        <w:keepNext w:val="0"/>
        <w:keepLines w:val="0"/>
        <w:pageBreakBefore w:val="0"/>
        <w:kinsoku/>
        <w:wordWrap/>
        <w:overflowPunct/>
        <w:topLinePunct w:val="0"/>
        <w:bidi w:val="0"/>
        <w:spacing w:after="0" w:line="560" w:lineRule="exact"/>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jc w:val="center"/>
        <w:textAlignment w:val="auto"/>
        <w:rPr>
          <w:rFonts w:hint="default" w:ascii="Times New Roman" w:hAnsi="Times New Roman" w:eastAsia="仿宋_GB2312" w:cs="Times New Roman"/>
          <w:snapToGrid/>
          <w:color w:val="000000"/>
          <w:kern w:val="2"/>
          <w:sz w:val="32"/>
          <w:szCs w:val="32"/>
          <w:highlight w:val="none"/>
          <w:lang w:val="en-US" w:eastAsia="zh-CN" w:bidi="ar-SA"/>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jc w:val="center"/>
        <w:textAlignment w:val="auto"/>
        <w:rPr>
          <w:rFonts w:hint="default" w:ascii="Times New Roman" w:hAnsi="Times New Roman" w:eastAsia="仿宋_GB2312" w:cs="Times New Roman"/>
          <w:snapToGrid/>
          <w:color w:val="000000"/>
          <w:kern w:val="2"/>
          <w:sz w:val="32"/>
          <w:szCs w:val="32"/>
          <w:highlight w:val="none"/>
          <w:lang w:val="en-US" w:eastAsia="zh-CN" w:bidi="ar-SA"/>
        </w:rPr>
      </w:pPr>
      <w:r>
        <w:rPr>
          <w:rFonts w:hint="default" w:ascii="Times New Roman" w:hAnsi="Times New Roman" w:eastAsia="仿宋_GB2312" w:cs="Times New Roman"/>
          <w:snapToGrid/>
          <w:color w:val="000000"/>
          <w:kern w:val="2"/>
          <w:sz w:val="32"/>
          <w:szCs w:val="32"/>
          <w:highlight w:val="none"/>
          <w:lang w:val="en-US" w:eastAsia="zh-CN" w:bidi="ar-SA"/>
        </w:rPr>
        <w:t>青政发〔2025〕4号</w:t>
      </w:r>
    </w:p>
    <w:p>
      <w:pPr>
        <w:keepNext w:val="0"/>
        <w:keepLines w:val="0"/>
        <w:pageBreakBefore w:val="0"/>
        <w:widowControl w:val="0"/>
        <w:kinsoku/>
        <w:wordWrap/>
        <w:overflowPunct/>
        <w:topLinePunct w:val="0"/>
        <w:autoSpaceDE/>
        <w:autoSpaceDN/>
        <w:bidi w:val="0"/>
        <w:adjustRightInd/>
        <w:snapToGrid w:val="0"/>
        <w:spacing w:line="560" w:lineRule="exact"/>
        <w:ind w:left="0" w:leftChars="0"/>
        <w:jc w:val="both"/>
        <w:textAlignment w:val="auto"/>
        <w:rPr>
          <w:rFonts w:hint="default" w:ascii="Times New Roman" w:hAnsi="Times New Roman" w:eastAsia="仿宋_GB2312" w:cs="Times New Roman"/>
          <w:snapToGrid/>
          <w:color w:val="000000"/>
          <w:kern w:val="2"/>
          <w:sz w:val="32"/>
          <w:szCs w:val="32"/>
          <w:highlight w:val="none"/>
          <w:lang w:val="en-US" w:eastAsia="zh-CN" w:bidi="ar-SA"/>
        </w:rPr>
      </w:pPr>
    </w:p>
    <w:p>
      <w:pPr>
        <w:keepNext w:val="0"/>
        <w:keepLines w:val="0"/>
        <w:pageBreakBefore w:val="0"/>
        <w:widowControl w:val="0"/>
        <w:kinsoku/>
        <w:wordWrap/>
        <w:overflowPunct/>
        <w:topLinePunct w:val="0"/>
        <w:bidi w:val="0"/>
        <w:snapToGrid w:val="0"/>
        <w:spacing w:line="560" w:lineRule="exact"/>
        <w:ind w:left="0" w:leftChars="0" w:right="0"/>
        <w:jc w:val="left"/>
        <w:textAlignment w:val="auto"/>
        <w:rPr>
          <w:rFonts w:hint="default" w:ascii="Times New Roman" w:hAnsi="Times New Roman" w:eastAsia="仿宋_GB2312" w:cs="Times New Roman"/>
          <w:color w:val="000000"/>
          <w:kern w:val="2"/>
          <w:sz w:val="30"/>
          <w:szCs w:val="30"/>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bCs w:val="0"/>
          <w:sz w:val="44"/>
          <w:szCs w:val="44"/>
          <w:lang w:val="en-US" w:eastAsia="zh-CN"/>
        </w:rPr>
      </w:pPr>
      <w:r>
        <w:rPr>
          <w:rFonts w:hint="default" w:ascii="Times New Roman" w:hAnsi="Times New Roman" w:eastAsia="方正小标宋简体" w:cs="Times New Roman"/>
          <w:b w:val="0"/>
          <w:bCs w:val="0"/>
          <w:sz w:val="44"/>
          <w:szCs w:val="44"/>
          <w:lang w:val="en-US" w:eastAsia="zh-CN"/>
        </w:rPr>
        <w:t>关于印发《青山桥镇第二轮土地承包到期后</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bCs w:val="0"/>
          <w:sz w:val="44"/>
          <w:szCs w:val="44"/>
          <w:lang w:val="en-US" w:eastAsia="zh-CN"/>
        </w:rPr>
      </w:pPr>
      <w:r>
        <w:rPr>
          <w:rFonts w:hint="default" w:ascii="Times New Roman" w:hAnsi="Times New Roman" w:eastAsia="方正小标宋简体" w:cs="Times New Roman"/>
          <w:b w:val="0"/>
          <w:bCs w:val="0"/>
          <w:sz w:val="44"/>
          <w:szCs w:val="44"/>
          <w:lang w:val="en-US" w:eastAsia="zh-CN"/>
        </w:rPr>
        <w:t>再延长三十年试点工作实施方案》的通知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各村（社区）、部门单位：</w:t>
      </w:r>
    </w:p>
    <w:p>
      <w:pPr>
        <w:keepNext w:val="0"/>
        <w:keepLines w:val="0"/>
        <w:pageBreakBefore w:val="0"/>
        <w:widowControl w:val="0"/>
        <w:kinsoku/>
        <w:wordWrap/>
        <w:overflowPunct w:val="0"/>
        <w:topLinePunct w:val="0"/>
        <w:autoSpaceDE/>
        <w:autoSpaceDN/>
        <w:bidi w:val="0"/>
        <w:adjustRightInd/>
        <w:snapToGrid/>
        <w:spacing w:line="560" w:lineRule="exact"/>
        <w:ind w:firstLine="6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现将《青山桥镇第二轮土地承包到期后再延长三十年试点工作实施方案》印发给你们，请遵照执行。</w:t>
      </w:r>
    </w:p>
    <w:p>
      <w:pPr>
        <w:keepNext w:val="0"/>
        <w:keepLines w:val="0"/>
        <w:pageBreakBefore w:val="0"/>
        <w:widowControl w:val="0"/>
        <w:kinsoku/>
        <w:wordWrap/>
        <w:overflowPunct w:val="0"/>
        <w:topLinePunct w:val="0"/>
        <w:autoSpaceDE/>
        <w:autoSpaceDN/>
        <w:bidi w:val="0"/>
        <w:adjustRightInd/>
        <w:snapToGrid/>
        <w:spacing w:line="560" w:lineRule="exact"/>
        <w:ind w:firstLine="6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val="0"/>
        <w:topLinePunct w:val="0"/>
        <w:autoSpaceDE/>
        <w:autoSpaceDN/>
        <w:bidi w:val="0"/>
        <w:adjustRightInd/>
        <w:snapToGrid/>
        <w:spacing w:line="560" w:lineRule="exact"/>
        <w:ind w:firstLine="6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val="0"/>
        <w:overflowPunct w:val="0"/>
        <w:topLinePunct w:val="0"/>
        <w:autoSpaceDE w:val="0"/>
        <w:autoSpaceDN w:val="0"/>
        <w:bidi w:val="0"/>
        <w:adjustRightInd w:val="0"/>
        <w:snapToGrid w:val="0"/>
        <w:spacing w:line="560" w:lineRule="exact"/>
        <w:ind w:left="0" w:leftChars="0" w:firstLine="0" w:firstLineChars="0"/>
        <w:jc w:val="right"/>
        <w:textAlignment w:val="baseline"/>
        <w:rPr>
          <w:rFonts w:hint="default" w:ascii="Times New Roman" w:hAnsi="Times New Roman" w:eastAsia="仿宋" w:cs="Times New Roman"/>
          <w:sz w:val="32"/>
          <w:szCs w:val="32"/>
          <w:highlight w:val="none"/>
          <w:lang w:val="en-US" w:eastAsia="zh-CN"/>
        </w:rPr>
      </w:pPr>
      <w:r>
        <w:rPr>
          <w:rFonts w:hint="default" w:ascii="Times New Roman" w:hAnsi="Times New Roman" w:eastAsia="仿宋" w:cs="Times New Roman"/>
          <w:sz w:val="32"/>
          <w:szCs w:val="32"/>
          <w:highlight w:val="none"/>
        </w:rPr>
        <w:t>宁乡市青山桥镇人民政府</w:t>
      </w:r>
      <w:r>
        <w:rPr>
          <w:rFonts w:hint="eastAsia" w:ascii="Times New Roman" w:hAnsi="Times New Roman" w:eastAsia="仿宋" w:cs="Times New Roman"/>
          <w:sz w:val="32"/>
          <w:szCs w:val="32"/>
          <w:highlight w:val="none"/>
          <w:lang w:val="en-US" w:eastAsia="zh-CN"/>
        </w:rPr>
        <w:t xml:space="preserve">    </w:t>
      </w:r>
    </w:p>
    <w:p>
      <w:pPr>
        <w:pStyle w:val="2"/>
        <w:wordWrap w:val="0"/>
        <w:ind w:left="0" w:leftChars="0" w:firstLine="0" w:firstLineChars="0"/>
        <w:jc w:val="right"/>
        <w:rPr>
          <w:rFonts w:hint="default" w:ascii="Times New Roman" w:hAnsi="Times New Roman" w:eastAsia="仿宋" w:cs="Times New Roman"/>
          <w:sz w:val="32"/>
          <w:szCs w:val="32"/>
          <w:highlight w:val="none"/>
          <w:lang w:val="en-US" w:eastAsia="zh-CN"/>
        </w:rPr>
      </w:pPr>
      <w:r>
        <w:rPr>
          <w:rFonts w:hint="default" w:ascii="Times New Roman" w:hAnsi="Times New Roman" w:eastAsia="仿宋" w:cs="Times New Roman"/>
          <w:sz w:val="32"/>
          <w:szCs w:val="32"/>
          <w:highlight w:val="none"/>
        </w:rPr>
        <w:t>202</w:t>
      </w:r>
      <w:r>
        <w:rPr>
          <w:rFonts w:hint="eastAsia" w:ascii="Times New Roman" w:hAnsi="Times New Roman" w:eastAsia="仿宋" w:cs="Times New Roman"/>
          <w:sz w:val="32"/>
          <w:szCs w:val="32"/>
          <w:highlight w:val="none"/>
          <w:lang w:val="en-US" w:eastAsia="zh-CN"/>
        </w:rPr>
        <w:t>5</w:t>
      </w:r>
      <w:r>
        <w:rPr>
          <w:rFonts w:hint="default" w:ascii="Times New Roman" w:hAnsi="Times New Roman" w:eastAsia="仿宋" w:cs="Times New Roman"/>
          <w:sz w:val="32"/>
          <w:szCs w:val="32"/>
          <w:highlight w:val="none"/>
        </w:rPr>
        <w:t>年</w:t>
      </w:r>
      <w:r>
        <w:rPr>
          <w:rFonts w:hint="eastAsia" w:ascii="Times New Roman" w:hAnsi="Times New Roman" w:eastAsia="仿宋" w:cs="Times New Roman"/>
          <w:sz w:val="32"/>
          <w:szCs w:val="32"/>
          <w:highlight w:val="none"/>
          <w:lang w:val="en-US" w:eastAsia="zh-CN"/>
        </w:rPr>
        <w:t>5</w:t>
      </w:r>
      <w:r>
        <w:rPr>
          <w:rFonts w:hint="default" w:ascii="Times New Roman" w:hAnsi="Times New Roman" w:eastAsia="仿宋" w:cs="Times New Roman"/>
          <w:sz w:val="32"/>
          <w:szCs w:val="32"/>
          <w:highlight w:val="none"/>
        </w:rPr>
        <w:t>月</w:t>
      </w:r>
      <w:r>
        <w:rPr>
          <w:rFonts w:hint="eastAsia" w:ascii="Times New Roman" w:hAnsi="Times New Roman" w:eastAsia="仿宋" w:cs="Times New Roman"/>
          <w:sz w:val="32"/>
          <w:szCs w:val="32"/>
          <w:highlight w:val="none"/>
          <w:lang w:val="en-US" w:eastAsia="zh-CN"/>
        </w:rPr>
        <w:t>13</w:t>
      </w:r>
      <w:r>
        <w:rPr>
          <w:rFonts w:hint="default" w:ascii="Times New Roman" w:hAnsi="Times New Roman" w:eastAsia="仿宋" w:cs="Times New Roman"/>
          <w:sz w:val="32"/>
          <w:szCs w:val="32"/>
          <w:highlight w:val="none"/>
        </w:rPr>
        <w:t>日</w:t>
      </w:r>
      <w:r>
        <w:rPr>
          <w:rFonts w:hint="eastAsia" w:ascii="Times New Roman" w:hAnsi="Times New Roman" w:eastAsia="仿宋" w:cs="Times New Roman"/>
          <w:sz w:val="32"/>
          <w:szCs w:val="32"/>
          <w:highlight w:val="none"/>
          <w:lang w:val="en-US" w:eastAsia="zh-CN"/>
        </w:rPr>
        <w:t xml:space="preserve">       </w:t>
      </w:r>
    </w:p>
    <w:p>
      <w:pPr>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br w:type="page"/>
      </w:r>
    </w:p>
    <w:p>
      <w:pPr>
        <w:keepNext w:val="0"/>
        <w:keepLines w:val="0"/>
        <w:pageBreakBefore w:val="0"/>
        <w:widowControl w:val="0"/>
        <w:kinsoku/>
        <w:wordWrap/>
        <w:overflowPunct/>
        <w:topLinePunct w:val="0"/>
        <w:autoSpaceDE/>
        <w:autoSpaceDN/>
        <w:bidi w:val="0"/>
        <w:adjustRightInd/>
        <w:snapToGrid/>
        <w:spacing w:line="540" w:lineRule="exact"/>
        <w:ind w:left="0" w:right="0" w:firstLine="0"/>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9"/>
          <w:sz w:val="44"/>
          <w:szCs w:val="44"/>
          <w:lang w:eastAsia="zh-CN"/>
        </w:rPr>
        <w:t>青山桥</w:t>
      </w:r>
      <w:r>
        <w:rPr>
          <w:rFonts w:hint="eastAsia" w:ascii="方正小标宋简体" w:hAnsi="方正小标宋简体" w:eastAsia="方正小标宋简体" w:cs="方正小标宋简体"/>
          <w:b w:val="0"/>
          <w:bCs w:val="0"/>
          <w:spacing w:val="-9"/>
          <w:sz w:val="44"/>
          <w:szCs w:val="44"/>
        </w:rPr>
        <w:t>镇第二轮土地承包到期后再延长三十年</w:t>
      </w:r>
      <w:r>
        <w:rPr>
          <w:rFonts w:hint="eastAsia" w:ascii="方正小标宋简体" w:hAnsi="方正小标宋简体" w:eastAsia="方正小标宋简体" w:cs="方正小标宋简体"/>
          <w:b w:val="0"/>
          <w:bCs w:val="0"/>
          <w:spacing w:val="-7"/>
          <w:sz w:val="44"/>
          <w:szCs w:val="44"/>
        </w:rPr>
        <w:t>试点工作实施方案</w:t>
      </w:r>
    </w:p>
    <w:p>
      <w:pPr>
        <w:keepNext w:val="0"/>
        <w:keepLines w:val="0"/>
        <w:pageBreakBefore w:val="0"/>
        <w:widowControl w:val="0"/>
        <w:kinsoku/>
        <w:wordWrap/>
        <w:topLinePunct w:val="0"/>
        <w:autoSpaceDE/>
        <w:autoSpaceDN/>
        <w:bidi w:val="0"/>
        <w:adjustRightInd/>
        <w:snapToGrid/>
        <w:spacing w:line="540" w:lineRule="exact"/>
        <w:textAlignment w:val="auto"/>
        <w:rPr>
          <w:rFonts w:hint="default"/>
          <w:lang w:val="en-US" w:eastAsia="zh-CN"/>
        </w:rPr>
      </w:pPr>
    </w:p>
    <w:p>
      <w:pPr>
        <w:keepNext w:val="0"/>
        <w:keepLines w:val="0"/>
        <w:pageBreakBefore w:val="0"/>
        <w:widowControl w:val="0"/>
        <w:kinsoku/>
        <w:wordWrap/>
        <w:overflowPunct w:val="0"/>
        <w:topLinePunct w:val="0"/>
        <w:autoSpaceDE/>
        <w:autoSpaceDN/>
        <w:bidi w:val="0"/>
        <w:adjustRightInd/>
        <w:snapToGrid/>
        <w:spacing w:line="540" w:lineRule="exact"/>
        <w:ind w:firstLine="6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为贯彻落实党中央关于保持土地承包关系稳定并长久不变、第二轮土地承包到期后再延长30年的决策部署，根据《中华人民共和国农村土地承包法》《湖南省第二轮土地承包到期后再延长三十年试点工作规范（试行）》《宁乡市第二轮土地承包到期后再延长30年整市试点工作方案》等文件精神，结合本镇实际特制定本方案，现将有关事项通知如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一、基本情况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青山桥镇共有8个村和1个社区，国土面积138平方公里，耕地确权面积46578.9亩（水田38379.9亩、旱地8199亩），园地1299.45亩（果园355.35亩、茶园496亩、其他园地448.1亩），涉及二轮延包的9个村级集体经济组织，共有村（居）民小组176个，15483户，55138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二、工作任务</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根据上级文件精神，按照青山桥镇第二轮土地承包到期后再延长三十年试点工作部署，本镇试点工作任务主要包括3个方面：</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2"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b/>
          <w:bCs/>
          <w:sz w:val="32"/>
          <w:szCs w:val="32"/>
          <w:lang w:val="en-US" w:eastAsia="zh-CN"/>
        </w:rPr>
        <w:t>（一）摸底调查承包现状。</w:t>
      </w:r>
      <w:r>
        <w:rPr>
          <w:rFonts w:hint="default" w:ascii="Times New Roman" w:hAnsi="Times New Roman" w:eastAsia="仿宋_GB2312" w:cs="Times New Roman"/>
          <w:sz w:val="32"/>
          <w:szCs w:val="32"/>
          <w:lang w:val="en-US" w:eastAsia="zh-CN"/>
        </w:rPr>
        <w:t>主要包括以下内容：一是第二轮土地承包以来农户家庭人口及承包地变化情况；二是整户消亡以及整户无地等情况；三是承包地确权登记颁证情况；四是村级集体土地利用现状和机动地等情况；五是农户对延包的意愿及想法；六是承包管理中存在的突出矛盾纠纷和历史遗留问题等。</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2"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b/>
          <w:bCs/>
          <w:sz w:val="32"/>
          <w:szCs w:val="32"/>
          <w:lang w:val="en-US" w:eastAsia="zh-CN"/>
        </w:rPr>
        <w:t>（二）依法依规开展延包工作。</w:t>
      </w:r>
      <w:r>
        <w:rPr>
          <w:rFonts w:hint="default" w:ascii="Times New Roman" w:hAnsi="Times New Roman" w:eastAsia="仿宋_GB2312" w:cs="Times New Roman"/>
          <w:sz w:val="32"/>
          <w:szCs w:val="32"/>
          <w:lang w:val="en-US" w:eastAsia="zh-CN"/>
        </w:rPr>
        <w:t>按照《中华人民共和国农村土地承包法》《湖南省第二轮土地承包到期后再延长三十年试点工作规程（试行）》等相关规定，指导试点村（社区）组规范有序开展延包工作。主要包括以下程序：成立机构、摸底核实、制定方案、开展调查、审核公示、签订合同、完善证书、资料归档。</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2"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b/>
          <w:bCs/>
          <w:sz w:val="32"/>
          <w:szCs w:val="32"/>
          <w:lang w:val="en-US" w:eastAsia="zh-CN"/>
        </w:rPr>
        <w:t>（三）需解决的主要问题。</w:t>
      </w:r>
      <w:r>
        <w:rPr>
          <w:rFonts w:hint="default" w:ascii="Times New Roman" w:hAnsi="Times New Roman" w:eastAsia="仿宋_GB2312" w:cs="Times New Roman"/>
          <w:sz w:val="32"/>
          <w:szCs w:val="32"/>
          <w:lang w:val="en-US" w:eastAsia="zh-CN"/>
        </w:rPr>
        <w:t>试点主要探索解决以下具体问题：一是探索直接顺延的条件和具体办法；二是对承包地因自然灾害损毁等特殊情形，探索实施</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大稳定、小调整</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的具体办法；三是探索非集体经济组织成员和跨乡镇（街道）、村（社区）、组的出嫁、离婚、丧偶妇女等特殊群体承包地延包路径；四是探索整户消亡土地收回和发包机制；五是探索土地经营权流转与延包的有效衔接方式。</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三、工作步骤</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我镇第二轮土地承包期（1995年12月31</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2025年12月31日）即将到期。2025年启动整镇延包试点，一年内完成试点任务。根据中央、省、市、宁乡市要求，经镇党委、政府研究决定，试点工作分为</w:t>
      </w:r>
      <w:r>
        <w:rPr>
          <w:rFonts w:hint="eastAsia" w:ascii="Times New Roman" w:hAnsi="Times New Roman" w:eastAsia="仿宋_GB2312" w:cs="Times New Roman"/>
          <w:sz w:val="32"/>
          <w:szCs w:val="32"/>
          <w:lang w:val="en-US" w:eastAsia="zh-CN"/>
        </w:rPr>
        <w:t>四</w:t>
      </w:r>
      <w:r>
        <w:rPr>
          <w:rFonts w:hint="default" w:ascii="Times New Roman" w:hAnsi="Times New Roman" w:eastAsia="仿宋_GB2312" w:cs="Times New Roman"/>
          <w:sz w:val="32"/>
          <w:szCs w:val="32"/>
          <w:lang w:val="en-US" w:eastAsia="zh-CN"/>
        </w:rPr>
        <w:t>个阶段进行。</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（一）筹划准备阶段（2025年5</w:t>
      </w:r>
      <w:r>
        <w:rPr>
          <w:rFonts w:hint="eastAsia" w:ascii="Times New Roman" w:hAnsi="Times New Roman" w:eastAsia="楷体_GB2312" w:cs="Times New Roman"/>
          <w:b/>
          <w:bCs/>
          <w:sz w:val="32"/>
          <w:szCs w:val="32"/>
          <w:lang w:val="en-US" w:eastAsia="zh-CN"/>
        </w:rPr>
        <w:t>月10日前</w:t>
      </w:r>
      <w:r>
        <w:rPr>
          <w:rFonts w:hint="default" w:ascii="Times New Roman" w:hAnsi="Times New Roman" w:eastAsia="楷体_GB2312" w:cs="Times New Roman"/>
          <w:b/>
          <w:bCs/>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1.出台全镇延包试点工作方案，明确时间表和路线图。</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2.成立镇延包试点工作领导小组，由杨靓雯同志任组长，贺湘锋、卢利平同志任副组长，其他党政负责人为成员，负责全镇延包试点工作的统一调度，工作中遇到重大问题召开联席会议研究解决。</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3.组建工作专班，由农业综合服务中心、平安法治办、财政办、党政办、经发办、镇妇联、自然资源所、派出所、各村（社区）明确专人负责，具体负责相关日常工作。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农业综合服务中心：负责协调指导各村（社区）开展第二轮土地承包到期后再延长三十年试点工作；督促各部门、各村（社区）落实各项工作任务；及时就工作中的重大问题向镇领导、上级部门汇报；做好试点工作的总结、汇报等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平安法治办公室：负责第二轮延包试点的信访维稳和矛盾纠纷调处工作。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财政办公室：负责保障必要的试点工作经费。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党政办公室：负责各村（社区）相关档案的业务指导及监督，做好相关档案的查阅工作。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经济发展办公室：负责向各村（社区）提供土地变更调查、农村集体土地所有权成果等相关资料。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镇妇联：负责保障第二轮土地延包试点工作中妇女、儿童的权益。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自然资源所：负责耕地确权面积的核准、测量。</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派出所：协助开展集体经济成员户籍和身份信息单条核查比对，指导开展纠纷调处。</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各村（社区）：作为试点方案的实施主体，要严把工作规程，学深学透政策文件精神，严格按照国家法律法规和政策要求，精心组织实施第二轮延包试点工作。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成立村组机构。由联村领导、网格干部指导村组根据相关规定，组织召开本集体经济组织成员（村民）或代表会议依法选举产生村级、组级延包工作小组及成员，小组成员候选名单报镇人民政府审核确认后印发公布实施。</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（二）宣传摸底阶段（2025年5月20日前）</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1.组织宣传培训。</w:t>
      </w:r>
      <w:r>
        <w:rPr>
          <w:rFonts w:hint="default" w:ascii="Times New Roman" w:hAnsi="Times New Roman" w:eastAsia="仿宋_GB2312" w:cs="Times New Roman"/>
          <w:sz w:val="32"/>
          <w:szCs w:val="32"/>
          <w:lang w:val="en-US" w:eastAsia="zh-CN"/>
        </w:rPr>
        <w:t>一是召开全镇动员大会，对镇全体班子成员、镇村干部和部分群众代表进行二轮土地延包政策和工作业务培训；二是组织镇工作人员和各村（社区）工作人员进行入户调查问卷、表格和试点路径、方法专题业务培训；三是开展全方位的宣传发动，采取发放公开信、固定宣传牌、公示栏、宣传标语和横幅、村村响广播、网格微信群等方式进行政策和法律宣传；四是村（社区）、组召开集体经济成员（代表）大会，将延包政策和工作流程传达至所有成员，让广大人民群众知晓并积极参与。</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2.入户摸底核实。</w:t>
      </w:r>
      <w:r>
        <w:rPr>
          <w:rFonts w:hint="default" w:ascii="Times New Roman" w:hAnsi="Times New Roman" w:eastAsia="仿宋_GB2312" w:cs="Times New Roman"/>
          <w:sz w:val="32"/>
          <w:szCs w:val="32"/>
          <w:lang w:val="en-US" w:eastAsia="zh-CN"/>
        </w:rPr>
        <w:t>主要摸清：第二轮土地承包以来的承包农户及家庭成员登记、承包地确权登记颁证及证书到户、承包地申请补登及信息纠错变更等情况，因开荒地、机动地、农户退回承包地、高标准农田调整、城乡建设用地增减挂钩复垦等新增土地管理及发包情况，存在的承包地纠纷和历史遗留问题，外嫁女及离异妇女土地承包情况，农户延包意愿，家庭承包户退出或应退未退情况、无地少地农户情况等。摸底核实工作由延包工作小组组织实施，通过电话、微信或上门等方式，对本发包方范围内的农户承包地、承包人口等增减信息进行调查并填入相关表格。</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（三）全面实施阶段（2025年11月底前）</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1.制订方案（2025年6月底前）。</w:t>
      </w:r>
      <w:r>
        <w:rPr>
          <w:rFonts w:hint="default" w:ascii="Times New Roman" w:hAnsi="Times New Roman" w:eastAsia="仿宋_GB2312" w:cs="Times New Roman"/>
          <w:sz w:val="32"/>
          <w:szCs w:val="32"/>
          <w:lang w:val="en-US" w:eastAsia="zh-CN"/>
        </w:rPr>
        <w:t>摸底核实完成后，由村、组延包小组依法拟定延包方案（草案）和重大问题处置意见（初稿），报镇人民政府预审，提交本集体经济组织成员（村民）会议三分之二以上成员（代表）讨论。修改完善后的延包方案和重大问题处置意见等，报镇人民政府审查和县二轮延包工作</w:t>
      </w:r>
      <w:r>
        <w:rPr>
          <w:rFonts w:hint="eastAsia" w:ascii="Times New Roman" w:hAnsi="Times New Roman" w:eastAsia="仿宋_GB2312" w:cs="Times New Roman"/>
          <w:sz w:val="32"/>
          <w:szCs w:val="32"/>
          <w:lang w:val="en-US" w:eastAsia="zh-CN"/>
        </w:rPr>
        <w:t>办公</w:t>
      </w:r>
      <w:r>
        <w:rPr>
          <w:rFonts w:hint="default" w:ascii="Times New Roman" w:hAnsi="Times New Roman" w:eastAsia="仿宋_GB2312" w:cs="Times New Roman"/>
          <w:sz w:val="32"/>
          <w:szCs w:val="32"/>
          <w:lang w:val="en-US" w:eastAsia="zh-CN"/>
        </w:rPr>
        <w:t>室备案后张榜公示，期限不少于15天。</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2.开展调查（2025年8月底前）。</w:t>
      </w:r>
      <w:r>
        <w:rPr>
          <w:rFonts w:hint="default" w:ascii="Times New Roman" w:hAnsi="Times New Roman" w:eastAsia="仿宋_GB2312" w:cs="Times New Roman"/>
          <w:sz w:val="32"/>
          <w:szCs w:val="32"/>
          <w:lang w:val="en-US" w:eastAsia="zh-CN"/>
        </w:rPr>
        <w:t>按照延包方案要求，开展农户土地承包经营权调查，形成公示表、公示图等调查成查。调查流程包括整理摸底表、开展权属调查、进行数据预处理、生成农户信息公示表（图）等。</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（1）整理摸底表。</w:t>
      </w:r>
      <w:r>
        <w:rPr>
          <w:rFonts w:hint="default" w:ascii="Times New Roman" w:hAnsi="Times New Roman" w:eastAsia="仿宋_GB2312" w:cs="Times New Roman"/>
          <w:sz w:val="32"/>
          <w:szCs w:val="32"/>
          <w:lang w:val="en-US" w:eastAsia="zh-CN"/>
        </w:rPr>
        <w:t>收集整理摸底阶段收回的农户《摸底表》等，按照承包方代表、家庭成员、承包地块等信息是否有变化，将农户填报情况分为无变化、有变化两种。农户承包信息无变化的，做直接顺延安排，不列入农户承包地权属信息测绘等调查范围，可直接进入摸底结果公示和签订土地承包合同等程序；农户承包信息有变化的，对照摸底表，组织开展农户承包信息测绘等调查。</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（2）权属调查。</w:t>
      </w:r>
      <w:r>
        <w:rPr>
          <w:rFonts w:hint="default" w:ascii="Times New Roman" w:hAnsi="Times New Roman" w:eastAsia="仿宋_GB2312" w:cs="Times New Roman"/>
          <w:sz w:val="32"/>
          <w:szCs w:val="32"/>
          <w:lang w:val="en-US" w:eastAsia="zh-CN"/>
        </w:rPr>
        <w:t>筛选出农户承包信息有变化的摸底表，根据摸底表中农户填写的变化信息，组织开展各类变化信息的权属调查。调查范围包括农户承包信息纠错变更、整户进城农户转让承包地、农户转让互换承包</w:t>
      </w:r>
      <w:r>
        <w:rPr>
          <w:rFonts w:hint="eastAsia" w:ascii="Times New Roman" w:hAnsi="Times New Roman" w:eastAsia="仿宋_GB2312" w:cs="Times New Roman"/>
          <w:sz w:val="32"/>
          <w:szCs w:val="32"/>
          <w:lang w:val="en-US" w:eastAsia="zh-CN"/>
        </w:rPr>
        <w:t>地</w:t>
      </w:r>
      <w:r>
        <w:rPr>
          <w:rFonts w:hint="default" w:ascii="Times New Roman" w:hAnsi="Times New Roman" w:eastAsia="仿宋_GB2312" w:cs="Times New Roman"/>
          <w:sz w:val="32"/>
          <w:szCs w:val="32"/>
          <w:lang w:val="en-US" w:eastAsia="zh-CN"/>
        </w:rPr>
        <w:t>、无地少地农户新增承包地、非承包地（集体机动地等）变化等，由调查员按照农户摸底表或发包方提供的资料进行记录或调查，形成相关权属调查数据，出具测绘调研报告。</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（3）生成公示资料。</w:t>
      </w:r>
      <w:r>
        <w:rPr>
          <w:rFonts w:hint="default" w:ascii="Times New Roman" w:hAnsi="Times New Roman" w:eastAsia="仿宋_GB2312" w:cs="Times New Roman"/>
          <w:sz w:val="32"/>
          <w:szCs w:val="32"/>
          <w:lang w:val="en-US" w:eastAsia="zh-CN"/>
        </w:rPr>
        <w:t>按照《农村土地承包经营权调查规程》等政策文件要求，以发包方为单位输出《农村土地承包经营权调查信息公示表》。非承包地（集体机动地等）调查情况</w:t>
      </w:r>
      <w:r>
        <w:rPr>
          <w:rFonts w:hint="eastAsia" w:ascii="Times New Roman" w:hAnsi="Times New Roman" w:eastAsia="仿宋_GB2312" w:cs="Times New Roman"/>
          <w:sz w:val="32"/>
          <w:szCs w:val="32"/>
          <w:lang w:val="en-US" w:eastAsia="zh-CN"/>
        </w:rPr>
        <w:t>应</w:t>
      </w:r>
      <w:r>
        <w:rPr>
          <w:rFonts w:hint="default" w:ascii="Times New Roman" w:hAnsi="Times New Roman" w:eastAsia="仿宋_GB2312" w:cs="Times New Roman"/>
          <w:sz w:val="32"/>
          <w:szCs w:val="32"/>
          <w:lang w:val="en-US" w:eastAsia="zh-CN"/>
        </w:rPr>
        <w:t>列入《公示表》。</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3.审核公示（2025年9月15日前）。</w:t>
      </w:r>
      <w:r>
        <w:rPr>
          <w:rFonts w:hint="default" w:ascii="Times New Roman" w:hAnsi="Times New Roman" w:eastAsia="仿宋_GB2312" w:cs="Times New Roman"/>
          <w:sz w:val="32"/>
          <w:szCs w:val="32"/>
          <w:lang w:val="en-US" w:eastAsia="zh-CN"/>
        </w:rPr>
        <w:t>公示表（图）等资料，经延包工作小组审核后，张榜公示不少于15天。公示期内，相关权利人提出异议的，延包小组应记录、核实。情况属实的，应修正公示结果再公示。公示期满后，调查单位据此以承包方为单位制作《农村土地承包经营权公示结果归户表》，交由发包方负责人、承包方代表签字。</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4.签订合同（2025年9月底前）。</w:t>
      </w:r>
      <w:r>
        <w:rPr>
          <w:rFonts w:hint="default" w:ascii="Times New Roman" w:hAnsi="Times New Roman" w:eastAsia="仿宋_GB2312" w:cs="Times New Roman"/>
          <w:sz w:val="32"/>
          <w:szCs w:val="32"/>
          <w:lang w:val="en-US" w:eastAsia="zh-CN"/>
        </w:rPr>
        <w:t>根据公示结果，组织承包户网签土地承包合同。合同记载二轮土地</w:t>
      </w:r>
      <w:r>
        <w:rPr>
          <w:rFonts w:hint="eastAsia" w:ascii="Times New Roman" w:hAnsi="Times New Roman" w:eastAsia="仿宋_GB2312" w:cs="Times New Roman"/>
          <w:sz w:val="32"/>
          <w:szCs w:val="32"/>
          <w:lang w:val="en-US" w:eastAsia="zh-CN"/>
        </w:rPr>
        <w:t>承包期限</w:t>
      </w:r>
      <w:r>
        <w:rPr>
          <w:rFonts w:hint="default" w:ascii="Times New Roman" w:hAnsi="Times New Roman" w:eastAsia="仿宋_GB2312" w:cs="Times New Roman"/>
          <w:sz w:val="32"/>
          <w:szCs w:val="32"/>
          <w:lang w:val="en-US" w:eastAsia="zh-CN"/>
        </w:rPr>
        <w:t>为30年，即二轮土地承包期限终止日至30年满。</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5.完善证书（2025年10月底前）。</w:t>
      </w:r>
      <w:r>
        <w:rPr>
          <w:rFonts w:hint="default" w:ascii="Times New Roman" w:hAnsi="Times New Roman" w:eastAsia="仿宋_GB2312" w:cs="Times New Roman"/>
          <w:sz w:val="32"/>
          <w:szCs w:val="32"/>
          <w:lang w:val="en-US" w:eastAsia="zh-CN"/>
        </w:rPr>
        <w:t>以农户土地承包合同为依据，已颁发的《农村土地承包经营权证》，在新的承包期继续不变不换，证书记载的承包期届时作统一变更。对个别农户承包地现状有变化的，由相关业务主管部门在登记簿和证书上作相应变更处理。</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6.资料归档（2025年11月底前）。</w:t>
      </w:r>
      <w:r>
        <w:rPr>
          <w:rFonts w:hint="default" w:ascii="Times New Roman" w:hAnsi="Times New Roman" w:eastAsia="仿宋_GB2312" w:cs="Times New Roman"/>
          <w:sz w:val="32"/>
          <w:szCs w:val="32"/>
          <w:lang w:val="en-US" w:eastAsia="zh-CN"/>
        </w:rPr>
        <w:t>镇村根据上级有关要求，做好土地延包资料的收集、整理和归档工作。</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（四）评估验收阶段（2025年12月底前）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延包试点工作完成后，镇村开展延包试点工作</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回头看</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，全面排查和整改延包数据信息不准、暂缓延包、超比例预留机动地等问题，迎接省市评估验收。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四、把握工作原则</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b/>
          <w:bCs/>
          <w:sz w:val="32"/>
          <w:szCs w:val="32"/>
          <w:lang w:val="en-US" w:eastAsia="zh-CN"/>
        </w:rPr>
        <w:t>（一）稳定土地承包关系。</w:t>
      </w:r>
      <w:r>
        <w:rPr>
          <w:rFonts w:hint="default" w:ascii="Times New Roman" w:hAnsi="Times New Roman" w:eastAsia="仿宋_GB2312" w:cs="Times New Roman"/>
          <w:sz w:val="32"/>
          <w:szCs w:val="32"/>
          <w:lang w:val="en-US" w:eastAsia="zh-CN"/>
        </w:rPr>
        <w:t>一是坚持延包原则，确保绝大多数承包农户原有承包地继续保持稳定。不能推倒重来、打乱重分，不能借机违法调整或者收回农户的承包地。二是对少数存在承包地因自然灾害毁损等特殊情形且群众普遍要求调地的，由农民集体民主协商，经本集体经济组织成员的村（居）民会议三分之二以上成员或者三分之二以上村民代表同意，并报镇人民政府和行政主管部门批准，可在个别农户间作适当调整，但要依法依规从严掌握。</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b/>
          <w:bCs/>
          <w:sz w:val="32"/>
          <w:szCs w:val="32"/>
          <w:lang w:val="en-US" w:eastAsia="zh-CN"/>
        </w:rPr>
        <w:t>（二）继续提倡</w:t>
      </w:r>
      <w:r>
        <w:rPr>
          <w:rFonts w:hint="eastAsia" w:ascii="Times New Roman" w:hAnsi="Times New Roman" w:eastAsia="楷体_GB2312" w:cs="Times New Roman"/>
          <w:b/>
          <w:bCs/>
          <w:sz w:val="32"/>
          <w:szCs w:val="32"/>
          <w:lang w:val="en-US" w:eastAsia="zh-CN"/>
        </w:rPr>
        <w:t>“</w:t>
      </w:r>
      <w:r>
        <w:rPr>
          <w:rFonts w:hint="default" w:ascii="Times New Roman" w:hAnsi="Times New Roman" w:eastAsia="楷体_GB2312" w:cs="Times New Roman"/>
          <w:b/>
          <w:bCs/>
          <w:sz w:val="32"/>
          <w:szCs w:val="32"/>
          <w:lang w:val="en-US" w:eastAsia="zh-CN"/>
        </w:rPr>
        <w:t>增人不增地、减人不减地</w:t>
      </w:r>
      <w:r>
        <w:rPr>
          <w:rFonts w:hint="eastAsia" w:ascii="Times New Roman" w:hAnsi="Times New Roman" w:eastAsia="楷体_GB2312" w:cs="Times New Roman"/>
          <w:b/>
          <w:bCs/>
          <w:sz w:val="32"/>
          <w:szCs w:val="32"/>
          <w:lang w:val="en-US" w:eastAsia="zh-CN"/>
        </w:rPr>
        <w:t>”</w:t>
      </w:r>
      <w:r>
        <w:rPr>
          <w:rFonts w:hint="default" w:ascii="Times New Roman" w:hAnsi="Times New Roman" w:eastAsia="楷体_GB2312" w:cs="Times New Roman"/>
          <w:b/>
          <w:bCs/>
          <w:sz w:val="32"/>
          <w:szCs w:val="32"/>
          <w:lang w:val="en-US" w:eastAsia="zh-CN"/>
        </w:rPr>
        <w:t>。</w:t>
      </w:r>
      <w:r>
        <w:rPr>
          <w:rFonts w:hint="default" w:ascii="Times New Roman" w:hAnsi="Times New Roman" w:eastAsia="仿宋_GB2312" w:cs="Times New Roman"/>
          <w:sz w:val="32"/>
          <w:szCs w:val="32"/>
          <w:lang w:val="en-US" w:eastAsia="zh-CN"/>
        </w:rPr>
        <w:t>为避免承包地的频繁变动，防止耕地经营规模不断细化，在延包期内，提倡</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增人不增地、减人不减地</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。因家庭成员全部死亡的消亡户，或家庭成员集体经济组织身份全部消失的承包户，发包方应当依法收回其承包地，另行发包。</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b/>
          <w:bCs/>
          <w:sz w:val="32"/>
          <w:szCs w:val="32"/>
          <w:lang w:val="en-US" w:eastAsia="zh-CN"/>
        </w:rPr>
        <w:t>（三）建立土地承包权依法自愿有偿转让机制。</w:t>
      </w:r>
      <w:r>
        <w:rPr>
          <w:rFonts w:hint="default" w:ascii="Times New Roman" w:hAnsi="Times New Roman" w:eastAsia="仿宋_GB2312" w:cs="Times New Roman"/>
          <w:sz w:val="32"/>
          <w:szCs w:val="32"/>
          <w:lang w:val="en-US" w:eastAsia="zh-CN"/>
        </w:rPr>
        <w:t>维护进城农户土地承包权益，现阶段不得以退出土地承包权作为农户进城落户的条件。对承包农户进城落户的，要按照国家不同时期的政策和法规分别处置。引导支持其按照自愿有偿原则依法在本集体经济组织内转让土地承包权或将承包地退还集体经济组织，也可鼓励其多种形式流转承包地经营权。</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b/>
          <w:bCs/>
          <w:sz w:val="32"/>
          <w:szCs w:val="32"/>
          <w:lang w:val="en-US" w:eastAsia="zh-CN"/>
        </w:rPr>
        <w:t>（四）严格遵循</w:t>
      </w:r>
      <w:r>
        <w:rPr>
          <w:rFonts w:hint="eastAsia" w:ascii="Times New Roman" w:hAnsi="Times New Roman" w:eastAsia="楷体_GB2312" w:cs="Times New Roman"/>
          <w:b/>
          <w:bCs/>
          <w:sz w:val="32"/>
          <w:szCs w:val="32"/>
          <w:lang w:val="en-US" w:eastAsia="zh-CN"/>
        </w:rPr>
        <w:t>“</w:t>
      </w:r>
      <w:r>
        <w:rPr>
          <w:rFonts w:hint="default" w:ascii="Times New Roman" w:hAnsi="Times New Roman" w:eastAsia="楷体_GB2312" w:cs="Times New Roman"/>
          <w:b/>
          <w:bCs/>
          <w:sz w:val="32"/>
          <w:szCs w:val="32"/>
          <w:lang w:val="en-US" w:eastAsia="zh-CN"/>
        </w:rPr>
        <w:t>五个不得</w:t>
      </w:r>
      <w:r>
        <w:rPr>
          <w:rFonts w:hint="eastAsia" w:ascii="Times New Roman" w:hAnsi="Times New Roman" w:eastAsia="楷体_GB2312" w:cs="Times New Roman"/>
          <w:b/>
          <w:bCs/>
          <w:sz w:val="32"/>
          <w:szCs w:val="32"/>
          <w:lang w:val="en-US" w:eastAsia="zh-CN"/>
        </w:rPr>
        <w:t>”</w:t>
      </w:r>
      <w:r>
        <w:rPr>
          <w:rFonts w:hint="default" w:ascii="Times New Roman" w:hAnsi="Times New Roman" w:eastAsia="楷体_GB2312" w:cs="Times New Roman"/>
          <w:b/>
          <w:bCs/>
          <w:sz w:val="32"/>
          <w:szCs w:val="32"/>
          <w:lang w:val="en-US" w:eastAsia="zh-CN"/>
        </w:rPr>
        <w:t>的原则。</w:t>
      </w:r>
      <w:r>
        <w:rPr>
          <w:rFonts w:hint="default" w:ascii="Times New Roman" w:hAnsi="Times New Roman" w:eastAsia="仿宋_GB2312" w:cs="Times New Roman"/>
          <w:sz w:val="32"/>
          <w:szCs w:val="32"/>
          <w:lang w:val="en-US" w:eastAsia="zh-CN"/>
        </w:rPr>
        <w:t>一是不得强行收回农民土地搞反租倒包，不得混淆反租倒包与委托流转的概念；二是不得随意改变集体所有权界限，不得借合并村组进行资源调剂，仍然以原自然村（居）民小组延包；三是不得新增机动地，不得借发展集体经济之名等为由，把收回的承包地违法留作机动地；四是不得违背农民意愿强行</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确权确股不确地</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，已经确权到地块的，不得借延包之机再确股；五是不得回避矛盾</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一延了之</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对承包农户合理的诉求，分类解决。</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b/>
          <w:bCs/>
          <w:sz w:val="32"/>
          <w:szCs w:val="32"/>
          <w:lang w:val="en-US" w:eastAsia="zh-CN"/>
        </w:rPr>
        <w:t>（五）认真防范化解风险矛盾。</w:t>
      </w:r>
      <w:r>
        <w:rPr>
          <w:rFonts w:hint="default" w:ascii="Times New Roman" w:hAnsi="Times New Roman" w:eastAsia="仿宋_GB2312" w:cs="Times New Roman"/>
          <w:sz w:val="32"/>
          <w:szCs w:val="32"/>
          <w:lang w:val="en-US" w:eastAsia="zh-CN"/>
        </w:rPr>
        <w:t>及时掌握试点工作开展情况、存在的困难和问题，认真开展信访稳定风险评估，制定切实可行的应急处置预案，实行全面参与、全程监控，对信访等不稳定的问题按照属地化解原则，确保把矛盾解决在萌芽状态，解决在基层。对历史遗留问题，要引导当事人依法理性反映和解决土地承包经营纠纷，通过协商、调解、仲裁、诉讼等渠道化解矛盾，保持社会和谐稳定。</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五、工作要求</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2"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b/>
          <w:bCs/>
          <w:sz w:val="32"/>
          <w:szCs w:val="32"/>
          <w:lang w:val="en-US" w:eastAsia="zh-CN"/>
        </w:rPr>
        <w:t>（一）提高政治站位。</w:t>
      </w:r>
      <w:r>
        <w:rPr>
          <w:rFonts w:hint="default" w:ascii="Times New Roman" w:hAnsi="Times New Roman" w:eastAsia="仿宋_GB2312" w:cs="Times New Roman"/>
          <w:sz w:val="32"/>
          <w:szCs w:val="32"/>
          <w:lang w:val="en-US" w:eastAsia="zh-CN"/>
        </w:rPr>
        <w:t>实行以家庭承包为基础、统分结合的双层经营体制是农村基本经营制度。第二轮土地承包到期后再延长30年，有利于稳定承包关系、坚定农民发展生产信心、保障农村长治久安。各村、线办和部门单位要站在讲政治的高度，落实政策精神，把握工作原则，严守工作规程，稳妥推进延包试点工作，按时保质完成试点任务。</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2"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b/>
          <w:bCs/>
          <w:sz w:val="32"/>
          <w:szCs w:val="32"/>
          <w:lang w:val="en-US" w:eastAsia="zh-CN"/>
        </w:rPr>
        <w:t>（二）强化责任落实。</w:t>
      </w:r>
      <w:r>
        <w:rPr>
          <w:rFonts w:hint="default" w:ascii="Times New Roman" w:hAnsi="Times New Roman" w:eastAsia="仿宋_GB2312" w:cs="Times New Roman"/>
          <w:sz w:val="32"/>
          <w:szCs w:val="32"/>
          <w:lang w:val="en-US" w:eastAsia="zh-CN"/>
        </w:rPr>
        <w:t>镇党委、政府承担延包试点主体责任，镇延包试点工作领导小组和联席会议定期听取工作进展汇报，及时研究解决工作中存在的突出问题。村、组承担延包试点具体责任，要做细做实摸底核实、审核公示、合同签订等基础性关键环节工作，确保成效。村总支书记要亲自负责，监督实施。联村领导、联村干部要包村负责，网格干部要深度参与，下沉督导。</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2"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b/>
          <w:bCs/>
          <w:sz w:val="32"/>
          <w:szCs w:val="32"/>
          <w:lang w:val="en-US" w:eastAsia="zh-CN"/>
        </w:rPr>
        <w:t>（三）加强信息反馈。</w:t>
      </w:r>
      <w:r>
        <w:rPr>
          <w:rFonts w:hint="default" w:ascii="Times New Roman" w:hAnsi="Times New Roman" w:eastAsia="仿宋_GB2312" w:cs="Times New Roman"/>
          <w:sz w:val="32"/>
          <w:szCs w:val="32"/>
          <w:lang w:val="en-US" w:eastAsia="zh-CN"/>
        </w:rPr>
        <w:t>各村（社区）按要求向镇农业综合服务中心报送工作进展情况、主要做法、存在问题以及相关建议，遇到重大问题及时报告。镇农业综合服务中心及时专题研究、统筹解决试点工作中出现的问题，同时加强督促指导，确保试点工作顺利进行。</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2"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b/>
          <w:bCs/>
          <w:sz w:val="32"/>
          <w:szCs w:val="32"/>
          <w:lang w:val="en-US" w:eastAsia="zh-CN"/>
        </w:rPr>
        <w:t>（四）严肃工作纪律。</w:t>
      </w:r>
      <w:r>
        <w:rPr>
          <w:rFonts w:hint="default" w:ascii="Times New Roman" w:hAnsi="Times New Roman" w:eastAsia="仿宋_GB2312" w:cs="Times New Roman"/>
          <w:sz w:val="32"/>
          <w:szCs w:val="32"/>
          <w:lang w:val="en-US" w:eastAsia="zh-CN"/>
        </w:rPr>
        <w:t>将延包试点工作纳入镇对村考核。对延包工作进度迟缓、土地承包信息正确率低、土地承包到户率低、承包合同网签率低、涉密信息资料管理不严格等问题依</w:t>
      </w:r>
      <w:r>
        <w:rPr>
          <w:rFonts w:hint="eastAsia" w:ascii="Times New Roman" w:hAnsi="Times New Roman" w:eastAsia="仿宋_GB2312" w:cs="Times New Roman"/>
          <w:sz w:val="32"/>
          <w:szCs w:val="32"/>
          <w:lang w:val="en-US" w:eastAsia="zh-CN"/>
        </w:rPr>
        <w:t>法依</w:t>
      </w:r>
      <w:r>
        <w:rPr>
          <w:rFonts w:hint="default" w:ascii="Times New Roman" w:hAnsi="Times New Roman" w:eastAsia="仿宋_GB2312" w:cs="Times New Roman"/>
          <w:sz w:val="32"/>
          <w:szCs w:val="32"/>
          <w:lang w:val="en-US" w:eastAsia="zh-CN"/>
        </w:rPr>
        <w:t>规实行问责。对违反相关法律或延包政策，简化或不按试点工作规范操作，致使农户承包经营权益受到侵害，甚至发生越级信访或群体性事件等情形的，依法依规追究相关人员责任。</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附件：1.青山桥镇第二轮土地承包到期后再延长三十年试点工联村安排表</w:t>
      </w:r>
    </w:p>
    <w:p>
      <w:pPr>
        <w:keepNext w:val="0"/>
        <w:keepLines w:val="0"/>
        <w:pageBreakBefore w:val="0"/>
        <w:widowControl w:val="0"/>
        <w:kinsoku/>
        <w:wordWrap/>
        <w:overflowPunct/>
        <w:topLinePunct w:val="0"/>
        <w:autoSpaceDE/>
        <w:autoSpaceDN/>
        <w:bidi w:val="0"/>
        <w:adjustRightInd/>
        <w:snapToGrid/>
        <w:spacing w:line="540" w:lineRule="exact"/>
        <w:ind w:firstLine="1600" w:firstLineChars="5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sz w:val="32"/>
          <w:szCs w:val="32"/>
          <w:lang w:val="en-US" w:eastAsia="zh-CN"/>
        </w:rPr>
        <w:t>2.青山桥镇村（社区）二轮延包面积表</w:t>
      </w:r>
    </w:p>
    <w:p>
      <w:pP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br w:type="page"/>
      </w:r>
    </w:p>
    <w:p>
      <w:pPr>
        <w:spacing w:before="78" w:line="224" w:lineRule="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pacing w:val="-13"/>
          <w:sz w:val="32"/>
          <w:szCs w:val="32"/>
        </w:rPr>
        <w:t>附件</w:t>
      </w:r>
      <w:r>
        <w:rPr>
          <w:rFonts w:hint="default" w:ascii="Times New Roman" w:hAnsi="Times New Roman" w:eastAsia="黑体" w:cs="Times New Roman"/>
          <w:b w:val="0"/>
          <w:bCs w:val="0"/>
          <w:spacing w:val="-13"/>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0"/>
        <w:jc w:val="center"/>
        <w:textAlignment w:val="auto"/>
        <w:rPr>
          <w:rFonts w:hint="default" w:ascii="Times New Roman" w:hAnsi="Times New Roman" w:eastAsia="方正小标宋简体" w:cs="Times New Roman"/>
          <w:b/>
          <w:bCs/>
          <w:spacing w:val="-1"/>
          <w:sz w:val="44"/>
          <w:szCs w:val="44"/>
        </w:rPr>
      </w:pPr>
      <w:r>
        <w:rPr>
          <w:rFonts w:hint="default" w:ascii="Times New Roman" w:hAnsi="Times New Roman" w:eastAsia="方正小标宋简体" w:cs="Times New Roman"/>
          <w:b w:val="0"/>
          <w:bCs w:val="0"/>
          <w:spacing w:val="-4"/>
          <w:sz w:val="44"/>
          <w:szCs w:val="44"/>
          <w:lang w:eastAsia="zh-CN"/>
        </w:rPr>
        <w:t>青山桥</w:t>
      </w:r>
      <w:r>
        <w:rPr>
          <w:rFonts w:hint="default" w:ascii="Times New Roman" w:hAnsi="Times New Roman" w:eastAsia="方正小标宋简体" w:cs="Times New Roman"/>
          <w:b w:val="0"/>
          <w:bCs w:val="0"/>
          <w:spacing w:val="-4"/>
          <w:sz w:val="44"/>
          <w:szCs w:val="44"/>
        </w:rPr>
        <w:t>镇第二轮土地承包到期后再延长三十年</w:t>
      </w:r>
      <w:r>
        <w:rPr>
          <w:rFonts w:hint="default" w:ascii="Times New Roman" w:hAnsi="Times New Roman" w:eastAsia="方正小标宋简体" w:cs="Times New Roman"/>
          <w:b w:val="0"/>
          <w:bCs w:val="0"/>
          <w:spacing w:val="-1"/>
          <w:sz w:val="44"/>
          <w:szCs w:val="44"/>
        </w:rPr>
        <w:t>试点工作联村安排表</w:t>
      </w: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left="0" w:leftChars="0"/>
        <w:textAlignment w:val="auto"/>
        <w:rPr>
          <w:rFonts w:hint="default" w:ascii="Times New Roman" w:hAnsi="Times New Roman" w:cs="Times New Roman"/>
        </w:rPr>
      </w:pPr>
    </w:p>
    <w:tbl>
      <w:tblPr>
        <w:tblStyle w:val="13"/>
        <w:tblW w:w="89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79"/>
        <w:gridCol w:w="2361"/>
        <w:gridCol w:w="2527"/>
        <w:gridCol w:w="22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jc w:val="center"/>
        </w:trPr>
        <w:tc>
          <w:tcPr>
            <w:tcW w:w="1779"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村名</w:t>
            </w:r>
          </w:p>
        </w:tc>
        <w:tc>
          <w:tcPr>
            <w:tcW w:w="2361"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联村领导</w:t>
            </w:r>
          </w:p>
        </w:tc>
        <w:tc>
          <w:tcPr>
            <w:tcW w:w="2527"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联村负责人</w:t>
            </w:r>
          </w:p>
        </w:tc>
        <w:tc>
          <w:tcPr>
            <w:tcW w:w="2253"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业务联络员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jc w:val="center"/>
        </w:trPr>
        <w:tc>
          <w:tcPr>
            <w:tcW w:w="1779"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青山桥社区</w:t>
            </w:r>
          </w:p>
        </w:tc>
        <w:tc>
          <w:tcPr>
            <w:tcW w:w="2361"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于</w:t>
            </w:r>
            <w:r>
              <w:rPr>
                <w:rFonts w:hint="default" w:ascii="Times New Roman" w:hAnsi="Times New Roman" w:eastAsia="仿宋_GB2312" w:cs="Times New Roman"/>
                <w:spacing w:val="4"/>
                <w:sz w:val="28"/>
                <w:szCs w:val="28"/>
                <w:lang w:val="en-US" w:eastAsia="zh-CN"/>
              </w:rPr>
              <w:t xml:space="preserve">  </w:t>
            </w:r>
            <w:r>
              <w:rPr>
                <w:rFonts w:hint="default" w:ascii="Times New Roman" w:hAnsi="Times New Roman" w:eastAsia="仿宋_GB2312" w:cs="Times New Roman"/>
                <w:spacing w:val="4"/>
                <w:sz w:val="28"/>
                <w:szCs w:val="28"/>
                <w:lang w:eastAsia="zh-CN"/>
              </w:rPr>
              <w:t>彪</w:t>
            </w:r>
          </w:p>
        </w:tc>
        <w:tc>
          <w:tcPr>
            <w:tcW w:w="2527"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罗铁军</w:t>
            </w:r>
          </w:p>
        </w:tc>
        <w:tc>
          <w:tcPr>
            <w:tcW w:w="2253"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李必辉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9" w:hRule="atLeast"/>
          <w:jc w:val="center"/>
        </w:trPr>
        <w:tc>
          <w:tcPr>
            <w:tcW w:w="1779"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上流村</w:t>
            </w:r>
          </w:p>
        </w:tc>
        <w:tc>
          <w:tcPr>
            <w:tcW w:w="2361"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彭</w:t>
            </w:r>
            <w:r>
              <w:rPr>
                <w:rFonts w:hint="default" w:ascii="Times New Roman" w:hAnsi="Times New Roman" w:eastAsia="仿宋_GB2312" w:cs="Times New Roman"/>
                <w:spacing w:val="4"/>
                <w:sz w:val="28"/>
                <w:szCs w:val="28"/>
                <w:lang w:val="en-US" w:eastAsia="zh-CN"/>
              </w:rPr>
              <w:t xml:space="preserve">  </w:t>
            </w:r>
            <w:r>
              <w:rPr>
                <w:rFonts w:hint="default" w:ascii="Times New Roman" w:hAnsi="Times New Roman" w:eastAsia="仿宋_GB2312" w:cs="Times New Roman"/>
                <w:spacing w:val="4"/>
                <w:sz w:val="28"/>
                <w:szCs w:val="28"/>
                <w:lang w:eastAsia="zh-CN"/>
              </w:rPr>
              <w:t>华</w:t>
            </w:r>
          </w:p>
        </w:tc>
        <w:tc>
          <w:tcPr>
            <w:tcW w:w="2527"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李</w:t>
            </w:r>
            <w:r>
              <w:rPr>
                <w:rFonts w:hint="default" w:ascii="Times New Roman" w:hAnsi="Times New Roman" w:eastAsia="仿宋_GB2312" w:cs="Times New Roman"/>
                <w:spacing w:val="4"/>
                <w:sz w:val="28"/>
                <w:szCs w:val="28"/>
                <w:lang w:val="en-US" w:eastAsia="zh-CN"/>
              </w:rPr>
              <w:t xml:space="preserve">  </w:t>
            </w:r>
            <w:r>
              <w:rPr>
                <w:rFonts w:hint="default" w:ascii="Times New Roman" w:hAnsi="Times New Roman" w:eastAsia="仿宋_GB2312" w:cs="Times New Roman"/>
                <w:spacing w:val="4"/>
                <w:sz w:val="28"/>
                <w:szCs w:val="28"/>
                <w:lang w:eastAsia="zh-CN"/>
              </w:rPr>
              <w:t>罗</w:t>
            </w:r>
          </w:p>
        </w:tc>
        <w:tc>
          <w:tcPr>
            <w:tcW w:w="2253"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唐正凯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jc w:val="center"/>
        </w:trPr>
        <w:tc>
          <w:tcPr>
            <w:tcW w:w="1779"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花园村</w:t>
            </w:r>
          </w:p>
        </w:tc>
        <w:tc>
          <w:tcPr>
            <w:tcW w:w="2361"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唐</w:t>
            </w:r>
            <w:r>
              <w:rPr>
                <w:rFonts w:hint="default" w:ascii="Times New Roman" w:hAnsi="Times New Roman" w:eastAsia="仿宋_GB2312" w:cs="Times New Roman"/>
                <w:spacing w:val="4"/>
                <w:sz w:val="28"/>
                <w:szCs w:val="28"/>
                <w:lang w:val="en-US" w:eastAsia="zh-CN"/>
              </w:rPr>
              <w:t xml:space="preserve">  </w:t>
            </w:r>
            <w:r>
              <w:rPr>
                <w:rFonts w:hint="default" w:ascii="Times New Roman" w:hAnsi="Times New Roman" w:eastAsia="仿宋_GB2312" w:cs="Times New Roman"/>
                <w:spacing w:val="4"/>
                <w:sz w:val="28"/>
                <w:szCs w:val="28"/>
                <w:lang w:eastAsia="zh-CN"/>
              </w:rPr>
              <w:t>华</w:t>
            </w:r>
          </w:p>
        </w:tc>
        <w:tc>
          <w:tcPr>
            <w:tcW w:w="2527"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陈友良</w:t>
            </w:r>
          </w:p>
        </w:tc>
        <w:tc>
          <w:tcPr>
            <w:tcW w:w="2253"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石</w:t>
            </w:r>
            <w:r>
              <w:rPr>
                <w:rFonts w:hint="default" w:ascii="Times New Roman" w:hAnsi="Times New Roman" w:eastAsia="仿宋_GB2312" w:cs="Times New Roman"/>
                <w:spacing w:val="4"/>
                <w:sz w:val="28"/>
                <w:szCs w:val="28"/>
                <w:lang w:val="en-US" w:eastAsia="zh-CN"/>
              </w:rPr>
              <w:t xml:space="preserve">  </w:t>
            </w:r>
            <w:r>
              <w:rPr>
                <w:rFonts w:hint="default" w:ascii="Times New Roman" w:hAnsi="Times New Roman" w:eastAsia="仿宋_GB2312" w:cs="Times New Roman"/>
                <w:spacing w:val="4"/>
                <w:sz w:val="28"/>
                <w:szCs w:val="28"/>
                <w:lang w:eastAsia="zh-CN"/>
              </w:rPr>
              <w:t>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4" w:hRule="atLeast"/>
          <w:jc w:val="center"/>
        </w:trPr>
        <w:tc>
          <w:tcPr>
            <w:tcW w:w="1779"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石狮桥村</w:t>
            </w:r>
          </w:p>
        </w:tc>
        <w:tc>
          <w:tcPr>
            <w:tcW w:w="2361"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王卓颖</w:t>
            </w:r>
          </w:p>
        </w:tc>
        <w:tc>
          <w:tcPr>
            <w:tcW w:w="2527"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喻兴胜</w:t>
            </w:r>
          </w:p>
        </w:tc>
        <w:tc>
          <w:tcPr>
            <w:tcW w:w="2253"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钟湘龙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jc w:val="center"/>
        </w:trPr>
        <w:tc>
          <w:tcPr>
            <w:tcW w:w="1779"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田心村</w:t>
            </w:r>
          </w:p>
        </w:tc>
        <w:tc>
          <w:tcPr>
            <w:tcW w:w="2361"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袁</w:t>
            </w:r>
            <w:r>
              <w:rPr>
                <w:rFonts w:hint="default" w:ascii="Times New Roman" w:hAnsi="Times New Roman" w:eastAsia="仿宋_GB2312" w:cs="Times New Roman"/>
                <w:spacing w:val="4"/>
                <w:sz w:val="28"/>
                <w:szCs w:val="28"/>
                <w:lang w:val="en-US" w:eastAsia="zh-CN"/>
              </w:rPr>
              <w:t xml:space="preserve">  </w:t>
            </w:r>
            <w:r>
              <w:rPr>
                <w:rFonts w:hint="default" w:ascii="Times New Roman" w:hAnsi="Times New Roman" w:eastAsia="仿宋_GB2312" w:cs="Times New Roman"/>
                <w:spacing w:val="4"/>
                <w:sz w:val="28"/>
                <w:szCs w:val="28"/>
                <w:lang w:eastAsia="zh-CN"/>
              </w:rPr>
              <w:t>亮</w:t>
            </w:r>
          </w:p>
        </w:tc>
        <w:tc>
          <w:tcPr>
            <w:tcW w:w="2527"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喻志斌</w:t>
            </w:r>
          </w:p>
        </w:tc>
        <w:tc>
          <w:tcPr>
            <w:tcW w:w="2253"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谢顺兵</w:t>
            </w:r>
          </w:p>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李烨萱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jc w:val="center"/>
        </w:trPr>
        <w:tc>
          <w:tcPr>
            <w:tcW w:w="1779"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心田村</w:t>
            </w:r>
          </w:p>
        </w:tc>
        <w:tc>
          <w:tcPr>
            <w:tcW w:w="2361"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周文勇</w:t>
            </w:r>
          </w:p>
        </w:tc>
        <w:tc>
          <w:tcPr>
            <w:tcW w:w="2527"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刘</w:t>
            </w:r>
            <w:r>
              <w:rPr>
                <w:rFonts w:hint="default" w:ascii="Times New Roman" w:hAnsi="Times New Roman" w:eastAsia="仿宋_GB2312" w:cs="Times New Roman"/>
                <w:spacing w:val="4"/>
                <w:sz w:val="28"/>
                <w:szCs w:val="28"/>
                <w:lang w:val="en-US" w:eastAsia="zh-CN"/>
              </w:rPr>
              <w:t xml:space="preserve">  </w:t>
            </w:r>
            <w:r>
              <w:rPr>
                <w:rFonts w:hint="default" w:ascii="Times New Roman" w:hAnsi="Times New Roman" w:eastAsia="仿宋_GB2312" w:cs="Times New Roman"/>
                <w:spacing w:val="4"/>
                <w:sz w:val="28"/>
                <w:szCs w:val="28"/>
                <w:lang w:eastAsia="zh-CN"/>
              </w:rPr>
              <w:t>磊</w:t>
            </w:r>
          </w:p>
        </w:tc>
        <w:tc>
          <w:tcPr>
            <w:tcW w:w="2253"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bookmarkStart w:id="0" w:name="_GoBack"/>
            <w:bookmarkEnd w:id="0"/>
            <w:r>
              <w:rPr>
                <w:rFonts w:hint="default" w:ascii="Times New Roman" w:hAnsi="Times New Roman" w:eastAsia="仿宋_GB2312" w:cs="Times New Roman"/>
                <w:spacing w:val="4"/>
                <w:sz w:val="28"/>
                <w:szCs w:val="28"/>
                <w:lang w:eastAsia="zh-CN"/>
              </w:rPr>
              <w:t>王正武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8" w:hRule="atLeast"/>
          <w:jc w:val="center"/>
        </w:trPr>
        <w:tc>
          <w:tcPr>
            <w:tcW w:w="1779"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田坪村</w:t>
            </w:r>
          </w:p>
        </w:tc>
        <w:tc>
          <w:tcPr>
            <w:tcW w:w="2361"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卢利平</w:t>
            </w:r>
          </w:p>
        </w:tc>
        <w:tc>
          <w:tcPr>
            <w:tcW w:w="2527"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何志军、李亚华</w:t>
            </w:r>
          </w:p>
        </w:tc>
        <w:tc>
          <w:tcPr>
            <w:tcW w:w="2253"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邓迎红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4" w:hRule="atLeast"/>
          <w:jc w:val="center"/>
        </w:trPr>
        <w:tc>
          <w:tcPr>
            <w:tcW w:w="1779"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竹峰村</w:t>
            </w:r>
          </w:p>
        </w:tc>
        <w:tc>
          <w:tcPr>
            <w:tcW w:w="2361"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曾</w:t>
            </w:r>
            <w:r>
              <w:rPr>
                <w:rFonts w:hint="default" w:ascii="Times New Roman" w:hAnsi="Times New Roman" w:eastAsia="仿宋_GB2312" w:cs="Times New Roman"/>
                <w:spacing w:val="4"/>
                <w:sz w:val="28"/>
                <w:szCs w:val="28"/>
                <w:lang w:val="en-US" w:eastAsia="zh-CN"/>
              </w:rPr>
              <w:t xml:space="preserve">  </w:t>
            </w:r>
            <w:r>
              <w:rPr>
                <w:rFonts w:hint="default" w:ascii="Times New Roman" w:hAnsi="Times New Roman" w:eastAsia="仿宋_GB2312" w:cs="Times New Roman"/>
                <w:spacing w:val="4"/>
                <w:sz w:val="28"/>
                <w:szCs w:val="28"/>
                <w:lang w:eastAsia="zh-CN"/>
              </w:rPr>
              <w:t>亚</w:t>
            </w:r>
          </w:p>
        </w:tc>
        <w:tc>
          <w:tcPr>
            <w:tcW w:w="2527"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邱克雄</w:t>
            </w:r>
          </w:p>
        </w:tc>
        <w:tc>
          <w:tcPr>
            <w:tcW w:w="2253"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喻</w:t>
            </w:r>
            <w:r>
              <w:rPr>
                <w:rFonts w:hint="default" w:ascii="Times New Roman" w:hAnsi="Times New Roman" w:eastAsia="仿宋_GB2312" w:cs="Times New Roman"/>
                <w:spacing w:val="4"/>
                <w:sz w:val="28"/>
                <w:szCs w:val="28"/>
                <w:lang w:val="en-US" w:eastAsia="zh-CN"/>
              </w:rPr>
              <w:t xml:space="preserve">  </w:t>
            </w:r>
            <w:r>
              <w:rPr>
                <w:rFonts w:hint="default" w:ascii="Times New Roman" w:hAnsi="Times New Roman" w:eastAsia="仿宋_GB2312" w:cs="Times New Roman"/>
                <w:spacing w:val="4"/>
                <w:sz w:val="28"/>
                <w:szCs w:val="28"/>
                <w:lang w:eastAsia="zh-CN"/>
              </w:rPr>
              <w:t>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4" w:hRule="atLeast"/>
          <w:jc w:val="center"/>
        </w:trPr>
        <w:tc>
          <w:tcPr>
            <w:tcW w:w="1779"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芙蓉村</w:t>
            </w:r>
          </w:p>
        </w:tc>
        <w:tc>
          <w:tcPr>
            <w:tcW w:w="2361"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李</w:t>
            </w:r>
            <w:r>
              <w:rPr>
                <w:rFonts w:hint="default" w:ascii="Times New Roman" w:hAnsi="Times New Roman" w:eastAsia="仿宋_GB2312" w:cs="Times New Roman"/>
                <w:spacing w:val="4"/>
                <w:sz w:val="28"/>
                <w:szCs w:val="28"/>
                <w:lang w:val="en-US" w:eastAsia="zh-CN"/>
              </w:rPr>
              <w:t xml:space="preserve"> </w:t>
            </w:r>
            <w:r>
              <w:rPr>
                <w:rFonts w:hint="default" w:ascii="Times New Roman" w:hAnsi="Times New Roman" w:eastAsia="仿宋_GB2312" w:cs="Times New Roman"/>
                <w:spacing w:val="4"/>
                <w:sz w:val="28"/>
                <w:szCs w:val="28"/>
                <w:lang w:eastAsia="zh-CN"/>
              </w:rPr>
              <w:t>佳</w:t>
            </w:r>
          </w:p>
        </w:tc>
        <w:tc>
          <w:tcPr>
            <w:tcW w:w="2527"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丁甲飞</w:t>
            </w:r>
          </w:p>
        </w:tc>
        <w:tc>
          <w:tcPr>
            <w:tcW w:w="2253"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4"/>
                <w:sz w:val="28"/>
                <w:szCs w:val="28"/>
                <w:lang w:eastAsia="zh-CN"/>
              </w:rPr>
              <w:t>曾数长</w:t>
            </w:r>
          </w:p>
        </w:tc>
      </w:tr>
    </w:tbl>
    <w:p>
      <w:pPr>
        <w:spacing w:before="13"/>
        <w:rPr>
          <w:rFonts w:hint="default" w:ascii="Times New Roman" w:hAnsi="Times New Roman" w:cs="Times New Roman"/>
        </w:rPr>
      </w:pPr>
    </w:p>
    <w:p>
      <w:pPr>
        <w:spacing w:before="13"/>
        <w:rPr>
          <w:rFonts w:hint="default" w:ascii="Times New Roman" w:hAnsi="Times New Roman" w:cs="Times New Roman"/>
        </w:rPr>
      </w:pPr>
    </w:p>
    <w:p>
      <w:pPr>
        <w:spacing w:before="13"/>
        <w:rPr>
          <w:rFonts w:hint="default" w:ascii="Times New Roman" w:hAnsi="Times New Roman" w:cs="Times New Roman"/>
        </w:rPr>
      </w:pPr>
    </w:p>
    <w:p>
      <w:pPr>
        <w:spacing w:before="13"/>
        <w:rPr>
          <w:rFonts w:hint="default" w:ascii="Times New Roman" w:hAnsi="Times New Roman" w:cs="Times New Roman"/>
        </w:rPr>
      </w:pPr>
    </w:p>
    <w:p>
      <w:pPr>
        <w:spacing w:before="13"/>
        <w:jc w:val="center"/>
        <w:rPr>
          <w:rFonts w:hint="default" w:ascii="Times New Roman" w:hAnsi="Times New Roman" w:cs="Times New Roman"/>
        </w:rPr>
      </w:pPr>
    </w:p>
    <w:p>
      <w:pPr>
        <w:spacing w:before="13"/>
        <w:rPr>
          <w:rFonts w:hint="default" w:ascii="Times New Roman" w:hAnsi="Times New Roman" w:cs="Times New Roman"/>
        </w:rPr>
      </w:pPr>
    </w:p>
    <w:p>
      <w:pPr>
        <w:spacing w:before="78" w:line="224" w:lineRule="auto"/>
        <w:rPr>
          <w:rFonts w:hint="eastAsia" w:ascii="Times New Roman" w:hAnsi="Times New Roman" w:eastAsia="黑体" w:cs="Times New Roman"/>
          <w:b w:val="0"/>
          <w:bCs w:val="0"/>
          <w:spacing w:val="-13"/>
          <w:sz w:val="32"/>
          <w:szCs w:val="32"/>
        </w:rPr>
      </w:pPr>
      <w:r>
        <w:rPr>
          <w:rFonts w:hint="eastAsia" w:ascii="Times New Roman" w:hAnsi="Times New Roman" w:eastAsia="黑体" w:cs="Times New Roman"/>
          <w:b w:val="0"/>
          <w:bCs w:val="0"/>
          <w:spacing w:val="-13"/>
          <w:sz w:val="32"/>
          <w:szCs w:val="32"/>
        </w:rPr>
        <w:t>附件</w:t>
      </w:r>
      <w:r>
        <w:rPr>
          <w:rFonts w:hint="eastAsia" w:ascii="Times New Roman" w:hAnsi="Times New Roman" w:eastAsia="黑体" w:cs="Times New Roman"/>
          <w:b w:val="0"/>
          <w:bCs w:val="0"/>
          <w:spacing w:val="-13"/>
          <w:sz w:val="32"/>
          <w:szCs w:val="32"/>
          <w:lang w:val="en-US" w:eastAsia="zh-CN"/>
        </w:rPr>
        <w:t>2</w:t>
      </w:r>
    </w:p>
    <w:tbl>
      <w:tblPr>
        <w:tblStyle w:val="9"/>
        <w:tblW w:w="100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98"/>
        <w:gridCol w:w="1667"/>
        <w:gridCol w:w="1826"/>
        <w:gridCol w:w="1511"/>
        <w:gridCol w:w="1513"/>
        <w:gridCol w:w="1511"/>
        <w:gridCol w:w="15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jc w:val="center"/>
        </w:trPr>
        <w:tc>
          <w:tcPr>
            <w:tcW w:w="10040" w:type="dxa"/>
            <w:gridSpan w:val="7"/>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宋体" w:cs="Times New Roman"/>
                <w:b/>
                <w:bCs/>
                <w:i w:val="0"/>
                <w:iCs w:val="0"/>
                <w:color w:val="000000"/>
                <w:sz w:val="40"/>
                <w:szCs w:val="40"/>
                <w:u w:val="none"/>
              </w:rPr>
            </w:pPr>
            <w:r>
              <w:rPr>
                <w:rFonts w:hint="default" w:ascii="Times New Roman" w:hAnsi="Times New Roman" w:eastAsia="方正小标宋简体" w:cs="Times New Roman"/>
                <w:b w:val="0"/>
                <w:bCs w:val="0"/>
                <w:i w:val="0"/>
                <w:iCs w:val="0"/>
                <w:snapToGrid w:val="0"/>
                <w:color w:val="000000"/>
                <w:kern w:val="0"/>
                <w:sz w:val="44"/>
                <w:szCs w:val="44"/>
                <w:u w:val="none"/>
                <w:lang w:val="en-US" w:eastAsia="zh-CN" w:bidi="ar"/>
              </w:rPr>
              <w:t>青山桥镇村（社区）二轮延包面积表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040" w:type="dxa"/>
            <w:gridSpan w:val="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snapToGrid w:val="0"/>
                <w:color w:val="000000"/>
                <w:kern w:val="0"/>
                <w:sz w:val="22"/>
                <w:szCs w:val="22"/>
                <w:u w:val="none"/>
                <w:lang w:val="en-US" w:eastAsia="zh-CN" w:bidi="ar"/>
              </w:rPr>
              <w:t xml:space="preserve">                                                               </w:t>
            </w:r>
            <w:r>
              <w:rPr>
                <w:rFonts w:hint="default" w:ascii="Times New Roman" w:hAnsi="Times New Roman" w:eastAsia="仿宋_GB2312" w:cs="Times New Roman"/>
                <w:i w:val="0"/>
                <w:iCs w:val="0"/>
                <w:snapToGrid w:val="0"/>
                <w:color w:val="000000"/>
                <w:kern w:val="0"/>
                <w:sz w:val="28"/>
                <w:szCs w:val="28"/>
                <w:u w:val="none"/>
                <w:lang w:val="en-US" w:eastAsia="zh-CN" w:bidi="ar"/>
              </w:rPr>
              <w:t xml:space="preserve">   单位：亩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4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序号</w:t>
            </w:r>
          </w:p>
        </w:tc>
        <w:tc>
          <w:tcPr>
            <w:tcW w:w="16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村（社区）</w:t>
            </w:r>
          </w:p>
        </w:tc>
        <w:tc>
          <w:tcPr>
            <w:tcW w:w="48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三调耕地面积（含水田、水浇地、旱地）</w:t>
            </w:r>
          </w:p>
        </w:tc>
        <w:tc>
          <w:tcPr>
            <w:tcW w:w="15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三调园地面积（含果园、茶园、</w:t>
            </w:r>
            <w:r>
              <w:rPr>
                <w:rFonts w:hint="eastAsia" w:ascii="Times New Roman" w:hAnsi="Times New Roman" w:eastAsia="仿宋_GB2312" w:cs="Times New Roman"/>
                <w:i w:val="0"/>
                <w:iCs w:val="0"/>
                <w:snapToGrid w:val="0"/>
                <w:color w:val="000000"/>
                <w:kern w:val="0"/>
                <w:sz w:val="28"/>
                <w:szCs w:val="28"/>
                <w:u w:val="none"/>
                <w:lang w:val="en-US" w:eastAsia="zh-CN" w:bidi="ar"/>
              </w:rPr>
              <w:t>其他</w:t>
            </w:r>
            <w:r>
              <w:rPr>
                <w:rFonts w:hint="default" w:ascii="Times New Roman" w:hAnsi="Times New Roman" w:eastAsia="仿宋_GB2312" w:cs="Times New Roman"/>
                <w:i w:val="0"/>
                <w:iCs w:val="0"/>
                <w:snapToGrid w:val="0"/>
                <w:color w:val="000000"/>
                <w:kern w:val="0"/>
                <w:sz w:val="28"/>
                <w:szCs w:val="28"/>
                <w:u w:val="none"/>
                <w:lang w:val="en-US" w:eastAsia="zh-CN" w:bidi="ar"/>
              </w:rPr>
              <w:t>园地）</w:t>
            </w:r>
          </w:p>
        </w:tc>
        <w:tc>
          <w:tcPr>
            <w:tcW w:w="15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延包面积（三调耕地+三调园地面积）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仿宋_GB2312" w:cs="Times New Roman"/>
                <w:i w:val="0"/>
                <w:iCs w:val="0"/>
                <w:color w:val="000000"/>
                <w:sz w:val="28"/>
                <w:szCs w:val="28"/>
                <w:u w:val="none"/>
              </w:rPr>
            </w:pPr>
          </w:p>
        </w:tc>
        <w:tc>
          <w:tcPr>
            <w:tcW w:w="16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仿宋_GB2312" w:cs="Times New Roman"/>
                <w:i w:val="0"/>
                <w:iCs w:val="0"/>
                <w:color w:val="000000"/>
                <w:sz w:val="28"/>
                <w:szCs w:val="28"/>
                <w:u w:val="none"/>
              </w:rPr>
            </w:pPr>
          </w:p>
        </w:tc>
        <w:tc>
          <w:tcPr>
            <w:tcW w:w="182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耕地总面积</w:t>
            </w:r>
          </w:p>
        </w:tc>
        <w:tc>
          <w:tcPr>
            <w:tcW w:w="151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水田</w:t>
            </w:r>
          </w:p>
        </w:tc>
        <w:tc>
          <w:tcPr>
            <w:tcW w:w="1513"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旱地</w:t>
            </w:r>
          </w:p>
        </w:tc>
        <w:tc>
          <w:tcPr>
            <w:tcW w:w="15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仿宋_GB2312" w:cs="Times New Roman"/>
                <w:i w:val="0"/>
                <w:iCs w:val="0"/>
                <w:color w:val="000000"/>
                <w:sz w:val="28"/>
                <w:szCs w:val="28"/>
                <w:u w:val="none"/>
              </w:rPr>
            </w:pPr>
          </w:p>
        </w:tc>
        <w:tc>
          <w:tcPr>
            <w:tcW w:w="1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仿宋_GB2312" w:cs="Times New Roman"/>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1</w:t>
            </w:r>
          </w:p>
        </w:tc>
        <w:tc>
          <w:tcPr>
            <w:tcW w:w="16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青山桥社区</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5959.05</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4625.25</w:t>
            </w:r>
          </w:p>
        </w:tc>
        <w:tc>
          <w:tcPr>
            <w:tcW w:w="15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1333.8</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147.3</w:t>
            </w:r>
          </w:p>
        </w:tc>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6106.35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2</w:t>
            </w:r>
          </w:p>
        </w:tc>
        <w:tc>
          <w:tcPr>
            <w:tcW w:w="16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芙蓉村</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5412.3</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4215.9</w:t>
            </w:r>
          </w:p>
        </w:tc>
        <w:tc>
          <w:tcPr>
            <w:tcW w:w="15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1196.4</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48</w:t>
            </w:r>
          </w:p>
        </w:tc>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5460.3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3</w:t>
            </w:r>
          </w:p>
        </w:tc>
        <w:tc>
          <w:tcPr>
            <w:tcW w:w="16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竹峰村</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3375.6</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2618.85</w:t>
            </w:r>
          </w:p>
        </w:tc>
        <w:tc>
          <w:tcPr>
            <w:tcW w:w="15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756.75</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91.95</w:t>
            </w:r>
          </w:p>
        </w:tc>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3467.55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4</w:t>
            </w:r>
          </w:p>
        </w:tc>
        <w:tc>
          <w:tcPr>
            <w:tcW w:w="16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田坪村</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5101.65</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4174.2</w:t>
            </w:r>
          </w:p>
        </w:tc>
        <w:tc>
          <w:tcPr>
            <w:tcW w:w="15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927.45</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193.5</w:t>
            </w:r>
          </w:p>
        </w:tc>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5295.15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5</w:t>
            </w:r>
          </w:p>
        </w:tc>
        <w:tc>
          <w:tcPr>
            <w:tcW w:w="16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上流村</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5425.65</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4346.25</w:t>
            </w:r>
          </w:p>
        </w:tc>
        <w:tc>
          <w:tcPr>
            <w:tcW w:w="15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1079.4</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128.55</w:t>
            </w:r>
          </w:p>
        </w:tc>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5554.2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6</w:t>
            </w:r>
          </w:p>
        </w:tc>
        <w:tc>
          <w:tcPr>
            <w:tcW w:w="16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心田村</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5343.9</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4750.2</w:t>
            </w:r>
          </w:p>
        </w:tc>
        <w:tc>
          <w:tcPr>
            <w:tcW w:w="15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593.7</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153.75</w:t>
            </w:r>
          </w:p>
        </w:tc>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5497.65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7</w:t>
            </w:r>
          </w:p>
        </w:tc>
        <w:tc>
          <w:tcPr>
            <w:tcW w:w="16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石狮桥村</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5019.75</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4335.9</w:t>
            </w:r>
          </w:p>
        </w:tc>
        <w:tc>
          <w:tcPr>
            <w:tcW w:w="15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683.85</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192.3</w:t>
            </w:r>
          </w:p>
        </w:tc>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5212.05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8</w:t>
            </w:r>
          </w:p>
        </w:tc>
        <w:tc>
          <w:tcPr>
            <w:tcW w:w="16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花园村</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5034.9</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4113.9</w:t>
            </w:r>
          </w:p>
        </w:tc>
        <w:tc>
          <w:tcPr>
            <w:tcW w:w="15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921</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201.3</w:t>
            </w:r>
          </w:p>
        </w:tc>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5236.2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jc w:val="center"/>
        </w:trPr>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9</w:t>
            </w:r>
          </w:p>
        </w:tc>
        <w:tc>
          <w:tcPr>
            <w:tcW w:w="16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田心村</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5906.1</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5199.45</w:t>
            </w:r>
          </w:p>
        </w:tc>
        <w:tc>
          <w:tcPr>
            <w:tcW w:w="15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706.65</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143.1</w:t>
            </w:r>
          </w:p>
        </w:tc>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snapToGrid w:val="0"/>
                <w:color w:val="000000"/>
                <w:kern w:val="0"/>
                <w:sz w:val="28"/>
                <w:szCs w:val="28"/>
                <w:u w:val="none"/>
                <w:lang w:val="en-US" w:eastAsia="zh-CN" w:bidi="ar"/>
              </w:rPr>
              <w:t>6049.2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jc w:val="center"/>
        </w:trPr>
        <w:tc>
          <w:tcPr>
            <w:tcW w:w="216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8"/>
                <w:szCs w:val="28"/>
                <w:u w:val="none"/>
              </w:rPr>
            </w:pPr>
            <w:r>
              <w:rPr>
                <w:rFonts w:hint="default" w:ascii="Times New Roman" w:hAnsi="Times New Roman" w:eastAsia="仿宋_GB2312" w:cs="Times New Roman"/>
                <w:b/>
                <w:bCs/>
                <w:i w:val="0"/>
                <w:iCs w:val="0"/>
                <w:snapToGrid w:val="0"/>
                <w:color w:val="000000"/>
                <w:kern w:val="0"/>
                <w:sz w:val="28"/>
                <w:szCs w:val="28"/>
                <w:u w:val="none"/>
                <w:lang w:val="en-US" w:eastAsia="zh-CN" w:bidi="ar"/>
              </w:rPr>
              <w:t>合计</w:t>
            </w:r>
          </w:p>
        </w:tc>
        <w:tc>
          <w:tcPr>
            <w:tcW w:w="1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8"/>
                <w:szCs w:val="28"/>
                <w:u w:val="none"/>
              </w:rPr>
            </w:pPr>
            <w:r>
              <w:rPr>
                <w:rFonts w:hint="default" w:ascii="Times New Roman" w:hAnsi="Times New Roman" w:eastAsia="仿宋_GB2312" w:cs="Times New Roman"/>
                <w:b/>
                <w:bCs/>
                <w:i w:val="0"/>
                <w:iCs w:val="0"/>
                <w:snapToGrid w:val="0"/>
                <w:color w:val="000000"/>
                <w:kern w:val="0"/>
                <w:sz w:val="28"/>
                <w:szCs w:val="28"/>
                <w:u w:val="none"/>
                <w:lang w:val="en-US" w:eastAsia="zh-CN" w:bidi="ar"/>
              </w:rPr>
              <w:t>46578.9</w:t>
            </w:r>
          </w:p>
        </w:tc>
        <w:tc>
          <w:tcPr>
            <w:tcW w:w="15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8"/>
                <w:szCs w:val="28"/>
                <w:u w:val="none"/>
              </w:rPr>
            </w:pPr>
            <w:r>
              <w:rPr>
                <w:rFonts w:hint="default" w:ascii="Times New Roman" w:hAnsi="Times New Roman" w:eastAsia="仿宋_GB2312" w:cs="Times New Roman"/>
                <w:b/>
                <w:bCs/>
                <w:i w:val="0"/>
                <w:iCs w:val="0"/>
                <w:snapToGrid w:val="0"/>
                <w:color w:val="000000"/>
                <w:kern w:val="0"/>
                <w:sz w:val="28"/>
                <w:szCs w:val="28"/>
                <w:u w:val="none"/>
                <w:lang w:val="en-US" w:eastAsia="zh-CN" w:bidi="ar"/>
              </w:rPr>
              <w:t>38379.9</w:t>
            </w:r>
          </w:p>
        </w:tc>
        <w:tc>
          <w:tcPr>
            <w:tcW w:w="1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8"/>
                <w:szCs w:val="28"/>
                <w:u w:val="none"/>
              </w:rPr>
            </w:pPr>
            <w:r>
              <w:rPr>
                <w:rFonts w:hint="default" w:ascii="Times New Roman" w:hAnsi="Times New Roman" w:eastAsia="仿宋_GB2312" w:cs="Times New Roman"/>
                <w:b/>
                <w:bCs/>
                <w:i w:val="0"/>
                <w:iCs w:val="0"/>
                <w:snapToGrid w:val="0"/>
                <w:color w:val="000000"/>
                <w:kern w:val="0"/>
                <w:sz w:val="28"/>
                <w:szCs w:val="28"/>
                <w:u w:val="none"/>
                <w:lang w:val="en-US" w:eastAsia="zh-CN" w:bidi="ar"/>
              </w:rPr>
              <w:t>8199</w:t>
            </w:r>
          </w:p>
        </w:tc>
        <w:tc>
          <w:tcPr>
            <w:tcW w:w="15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8"/>
                <w:szCs w:val="28"/>
                <w:u w:val="none"/>
              </w:rPr>
            </w:pPr>
            <w:r>
              <w:rPr>
                <w:rFonts w:hint="default" w:ascii="Times New Roman" w:hAnsi="Times New Roman" w:eastAsia="仿宋_GB2312" w:cs="Times New Roman"/>
                <w:b/>
                <w:bCs/>
                <w:i w:val="0"/>
                <w:iCs w:val="0"/>
                <w:snapToGrid w:val="0"/>
                <w:color w:val="000000"/>
                <w:kern w:val="0"/>
                <w:sz w:val="28"/>
                <w:szCs w:val="28"/>
                <w:u w:val="none"/>
                <w:lang w:val="en-US" w:eastAsia="zh-CN" w:bidi="ar"/>
              </w:rPr>
              <w:t>1299.75</w:t>
            </w:r>
          </w:p>
        </w:tc>
        <w:tc>
          <w:tcPr>
            <w:tcW w:w="15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8"/>
                <w:szCs w:val="28"/>
                <w:u w:val="none"/>
              </w:rPr>
            </w:pPr>
            <w:r>
              <w:rPr>
                <w:rFonts w:hint="default" w:ascii="Times New Roman" w:hAnsi="Times New Roman" w:eastAsia="仿宋_GB2312" w:cs="Times New Roman"/>
                <w:b/>
                <w:bCs/>
                <w:i w:val="0"/>
                <w:iCs w:val="0"/>
                <w:snapToGrid w:val="0"/>
                <w:color w:val="000000"/>
                <w:kern w:val="0"/>
                <w:sz w:val="28"/>
                <w:szCs w:val="28"/>
                <w:u w:val="none"/>
                <w:lang w:val="en-US" w:eastAsia="zh-CN" w:bidi="ar"/>
              </w:rPr>
              <w:t>47878.65</w:t>
            </w:r>
          </w:p>
        </w:tc>
      </w:tr>
    </w:tbl>
    <w:p>
      <w:pPr>
        <w:spacing w:line="560" w:lineRule="exact"/>
        <w:jc w:val="center"/>
        <w:rPr>
          <w:rFonts w:hint="default" w:ascii="Times New Roman" w:hAnsi="Times New Roman" w:cs="Times New Roman"/>
          <w:lang w:val="en-US" w:eastAsia="zh-CN"/>
        </w:rPr>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modern"/>
    <w:pitch w:val="default"/>
    <w:sig w:usb0="00007A87" w:usb1="80000000" w:usb2="00000008"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Theme="minorEastAsia" w:hAnsiTheme="minorEastAsia" w:eastAsiaTheme="minorEastAsia" w:cstheme="minorEastAsia"/>
                              <w:sz w:val="28"/>
                              <w:szCs w:val="44"/>
                            </w:rPr>
                          </w:pPr>
                          <w:r>
                            <w:rPr>
                              <w:rFonts w:hint="eastAsia" w:asciiTheme="minorEastAsia" w:hAnsiTheme="minorEastAsia" w:cstheme="minorEastAsia"/>
                              <w:sz w:val="28"/>
                              <w:szCs w:val="44"/>
                            </w:rPr>
                            <w:t xml:space="preserve">— </w:t>
                          </w:r>
                          <w:r>
                            <w:rPr>
                              <w:rFonts w:hint="eastAsia" w:asciiTheme="minorEastAsia" w:hAnsiTheme="minorEastAsia" w:cstheme="minorEastAsia"/>
                              <w:sz w:val="28"/>
                              <w:szCs w:val="44"/>
                            </w:rPr>
                            <w:fldChar w:fldCharType="begin"/>
                          </w:r>
                          <w:r>
                            <w:rPr>
                              <w:rFonts w:hint="eastAsia" w:asciiTheme="minorEastAsia" w:hAnsiTheme="minorEastAsia" w:cstheme="minorEastAsia"/>
                              <w:sz w:val="28"/>
                              <w:szCs w:val="44"/>
                            </w:rPr>
                            <w:instrText xml:space="preserve"> PAGE  \* MERGEFORMAT </w:instrText>
                          </w:r>
                          <w:r>
                            <w:rPr>
                              <w:rFonts w:hint="eastAsia" w:asciiTheme="minorEastAsia" w:hAnsiTheme="minorEastAsia" w:cstheme="minorEastAsia"/>
                              <w:sz w:val="28"/>
                              <w:szCs w:val="44"/>
                            </w:rPr>
                            <w:fldChar w:fldCharType="separate"/>
                          </w:r>
                          <w:r>
                            <w:rPr>
                              <w:rFonts w:hint="eastAsia" w:asciiTheme="minorEastAsia" w:hAnsiTheme="minorEastAsia" w:cstheme="minorEastAsia"/>
                              <w:sz w:val="28"/>
                              <w:szCs w:val="44"/>
                            </w:rPr>
                            <w:t>13</w:t>
                          </w:r>
                          <w:r>
                            <w:rPr>
                              <w:rFonts w:hint="eastAsia" w:asciiTheme="minorEastAsia" w:hAnsiTheme="minorEastAsia" w:cstheme="minorEastAsia"/>
                              <w:sz w:val="28"/>
                              <w:szCs w:val="44"/>
                            </w:rPr>
                            <w:fldChar w:fldCharType="end"/>
                          </w:r>
                          <w:r>
                            <w:rPr>
                              <w:rFonts w:hint="eastAsia" w:asciiTheme="minorEastAsia" w:hAnsiTheme="minorEastAsia" w:cstheme="minorEastAsia"/>
                              <w:sz w:val="28"/>
                              <w:szCs w:val="4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">
              <v:fill on="f" focussize="0,0"/>
              <v:stroke on="f" weight="0.5pt"/>
              <v:imagedata o:title=""/>
              <o:lock v:ext="edit" aspectratio="f"/>
              <v:textbox inset="0mm,0mm,0mm,0mm" style="mso-fit-shape-to-text:t;">
                <w:txbxContent>
                  <w:p>
                    <w:pPr>
                      <w:pStyle w:val="7"/>
                      <w:rPr>
                        <w:rFonts w:hint="eastAsia" w:asciiTheme="minorEastAsia" w:hAnsiTheme="minorEastAsia" w:eastAsiaTheme="minorEastAsia" w:cstheme="minorEastAsia"/>
                        <w:sz w:val="28"/>
                        <w:szCs w:val="44"/>
                      </w:rPr>
                    </w:pPr>
                    <w:r>
                      <w:rPr>
                        <w:rFonts w:hint="eastAsia" w:asciiTheme="minorEastAsia" w:hAnsiTheme="minorEastAsia" w:cstheme="minorEastAsia"/>
                        <w:sz w:val="28"/>
                        <w:szCs w:val="44"/>
                      </w:rPr>
                      <w:t xml:space="preserve">— </w:t>
                    </w:r>
                    <w:r>
                      <w:rPr>
                        <w:rFonts w:hint="eastAsia" w:asciiTheme="minorEastAsia" w:hAnsiTheme="minorEastAsia" w:cstheme="minorEastAsia"/>
                        <w:sz w:val="28"/>
                        <w:szCs w:val="44"/>
                      </w:rPr>
                      <w:fldChar w:fldCharType="begin"/>
                    </w:r>
                    <w:r>
                      <w:rPr>
                        <w:rFonts w:hint="eastAsia" w:asciiTheme="minorEastAsia" w:hAnsiTheme="minorEastAsia" w:cstheme="minorEastAsia"/>
                        <w:sz w:val="28"/>
                        <w:szCs w:val="44"/>
                      </w:rPr>
                      <w:instrText xml:space="preserve"> PAGE  \* MERGEFORMAT </w:instrText>
                    </w:r>
                    <w:r>
                      <w:rPr>
                        <w:rFonts w:hint="eastAsia" w:asciiTheme="minorEastAsia" w:hAnsiTheme="minorEastAsia" w:cstheme="minorEastAsia"/>
                        <w:sz w:val="28"/>
                        <w:szCs w:val="44"/>
                      </w:rPr>
                      <w:fldChar w:fldCharType="separate"/>
                    </w:r>
                    <w:r>
                      <w:rPr>
                        <w:rFonts w:hint="eastAsia" w:asciiTheme="minorEastAsia" w:hAnsiTheme="minorEastAsia" w:cstheme="minorEastAsia"/>
                        <w:sz w:val="28"/>
                        <w:szCs w:val="44"/>
                      </w:rPr>
                      <w:t>13</w:t>
                    </w:r>
                    <w:r>
                      <w:rPr>
                        <w:rFonts w:hint="eastAsia" w:asciiTheme="minorEastAsia" w:hAnsiTheme="minorEastAsia" w:cstheme="minorEastAsia"/>
                        <w:sz w:val="28"/>
                        <w:szCs w:val="44"/>
                      </w:rPr>
                      <w:fldChar w:fldCharType="end"/>
                    </w:r>
                    <w:r>
                      <w:rPr>
                        <w:rFonts w:hint="eastAsia" w:asciiTheme="minorEastAsia" w:hAnsiTheme="minorEastAsia" w:cstheme="minorEastAsia"/>
                        <w:sz w:val="28"/>
                        <w:szCs w:val="4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kN2M1ZGRiY2ZmYmU5MzQ1NjFlYTUwYmYxNWE0NGIifQ=="/>
  </w:docVars>
  <w:rsids>
    <w:rsidRoot w:val="222C6507"/>
    <w:rsid w:val="0D6EFF9E"/>
    <w:rsid w:val="176FE1B4"/>
    <w:rsid w:val="1BF99AE1"/>
    <w:rsid w:val="1FBC865E"/>
    <w:rsid w:val="222C6507"/>
    <w:rsid w:val="27FE4B8D"/>
    <w:rsid w:val="2AF9138F"/>
    <w:rsid w:val="3771DB47"/>
    <w:rsid w:val="48F062E1"/>
    <w:rsid w:val="49DB13F9"/>
    <w:rsid w:val="57FDCB17"/>
    <w:rsid w:val="5BCF344A"/>
    <w:rsid w:val="5BFB86F5"/>
    <w:rsid w:val="5BFBFFC7"/>
    <w:rsid w:val="5EDFC160"/>
    <w:rsid w:val="5FBF58F4"/>
    <w:rsid w:val="668D4E5B"/>
    <w:rsid w:val="6FCF07D7"/>
    <w:rsid w:val="714CFC1B"/>
    <w:rsid w:val="71D457AB"/>
    <w:rsid w:val="77DF6643"/>
    <w:rsid w:val="77E72AF2"/>
    <w:rsid w:val="77EFE021"/>
    <w:rsid w:val="7B05641A"/>
    <w:rsid w:val="7B93B56A"/>
    <w:rsid w:val="7BBB8639"/>
    <w:rsid w:val="7DA6FDAA"/>
    <w:rsid w:val="7EEF4F56"/>
    <w:rsid w:val="7EFE5CAD"/>
    <w:rsid w:val="7F2A5732"/>
    <w:rsid w:val="7FED5D52"/>
    <w:rsid w:val="7FFF0A41"/>
    <w:rsid w:val="A77FFD15"/>
    <w:rsid w:val="AB7FC60B"/>
    <w:rsid w:val="AFEDD7BD"/>
    <w:rsid w:val="B5FD0D03"/>
    <w:rsid w:val="BAFD6C50"/>
    <w:rsid w:val="BEF5D9A4"/>
    <w:rsid w:val="D7FF70CD"/>
    <w:rsid w:val="D9560F37"/>
    <w:rsid w:val="DBFFBB4A"/>
    <w:rsid w:val="DDE74217"/>
    <w:rsid w:val="EBAB2175"/>
    <w:rsid w:val="F3AFD9A8"/>
    <w:rsid w:val="F75A418E"/>
    <w:rsid w:val="F7C34DB0"/>
    <w:rsid w:val="FB9D0202"/>
    <w:rsid w:val="FBFB4837"/>
    <w:rsid w:val="FC2263C3"/>
    <w:rsid w:val="FD6DF2C5"/>
    <w:rsid w:val="FD6F3129"/>
    <w:rsid w:val="FEBF7E4D"/>
    <w:rsid w:val="FEDA35BF"/>
    <w:rsid w:val="FEDF867A"/>
    <w:rsid w:val="FFAF2666"/>
    <w:rsid w:val="FFC7A12E"/>
    <w:rsid w:val="FFF4A5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99"/>
    <w:pPr>
      <w:ind w:firstLine="420"/>
      <w:jc w:val="left"/>
    </w:pPr>
  </w:style>
  <w:style w:type="paragraph" w:styleId="3">
    <w:name w:val="Body Text Indent"/>
    <w:basedOn w:val="1"/>
    <w:next w:val="4"/>
    <w:qFormat/>
    <w:uiPriority w:val="0"/>
    <w:pPr>
      <w:spacing w:after="120" w:afterLines="0"/>
      <w:ind w:left="420" w:leftChars="200"/>
    </w:pPr>
    <w:rPr>
      <w:rFonts w:eastAsia="仿宋_GB2312"/>
      <w:sz w:val="32"/>
    </w:rPr>
  </w:style>
  <w:style w:type="paragraph" w:styleId="4">
    <w:name w:val="Normal Indent"/>
    <w:basedOn w:val="1"/>
    <w:next w:val="1"/>
    <w:qFormat/>
    <w:uiPriority w:val="0"/>
    <w:pPr>
      <w:ind w:firstLine="420" w:firstLineChars="200"/>
    </w:pPr>
    <w:rPr>
      <w:rFonts w:ascii="Calibri" w:hAnsi="Calibri" w:eastAsia="仿宋" w:cs="Times New Roman"/>
      <w:sz w:val="32"/>
    </w:rPr>
  </w:style>
  <w:style w:type="paragraph" w:styleId="5">
    <w:name w:val="Body Text"/>
    <w:basedOn w:val="1"/>
    <w:next w:val="6"/>
    <w:qFormat/>
    <w:uiPriority w:val="0"/>
    <w:pPr>
      <w:autoSpaceDE w:val="0"/>
      <w:autoSpaceDN w:val="0"/>
      <w:jc w:val="left"/>
    </w:pPr>
    <w:rPr>
      <w:rFonts w:ascii="宋体" w:hAnsi="宋体" w:eastAsia="宋体" w:cs="宋体"/>
      <w:kern w:val="0"/>
      <w:sz w:val="32"/>
      <w:szCs w:val="32"/>
      <w:lang w:eastAsia="en-US"/>
    </w:rPr>
  </w:style>
  <w:style w:type="paragraph" w:styleId="6">
    <w:name w:val="toc 5"/>
    <w:basedOn w:val="1"/>
    <w:next w:val="1"/>
    <w:qFormat/>
    <w:uiPriority w:val="0"/>
    <w:pPr>
      <w:ind w:left="1680" w:leftChars="80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BodyText1I"/>
    <w:next w:val="1"/>
    <w:qFormat/>
    <w:uiPriority w:val="0"/>
    <w:pPr>
      <w:spacing w:after="120"/>
      <w:ind w:firstLine="420" w:firstLineChars="100"/>
      <w:jc w:val="both"/>
      <w:textAlignment w:val="baseline"/>
    </w:pPr>
    <w:rPr>
      <w:rFonts w:ascii="Times New Roman" w:hAnsi="Times New Roman" w:eastAsia="宋体" w:cs="宋体"/>
      <w:kern w:val="2"/>
      <w:sz w:val="21"/>
      <w:lang w:val="en-US" w:eastAsia="zh-CN" w:bidi="ar-SA"/>
    </w:rPr>
  </w:style>
  <w:style w:type="table" w:customStyle="1" w:styleId="13">
    <w:name w:val="Table Normal"/>
    <w:unhideWhenUsed/>
    <w:qFormat/>
    <w:uiPriority w:val="0"/>
    <w:tblPr>
      <w:tblCellMar>
        <w:top w:w="0" w:type="dxa"/>
        <w:left w:w="0" w:type="dxa"/>
        <w:bottom w:w="0" w:type="dxa"/>
        <w:right w:w="0" w:type="dxa"/>
      </w:tblCellMar>
    </w:tblPr>
  </w:style>
  <w:style w:type="paragraph" w:customStyle="1" w:styleId="14">
    <w:name w:val="Table Text"/>
    <w:basedOn w:val="1"/>
    <w:semiHidden/>
    <w:qFormat/>
    <w:uiPriority w:val="0"/>
    <w:rPr>
      <w:rFonts w:ascii="宋体" w:hAnsi="宋体" w:eastAsia="宋体" w:cs="宋体"/>
      <w:sz w:val="28"/>
      <w:szCs w:val="28"/>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31</TotalTime>
  <ScaleCrop>false</ScaleCrop>
  <LinksUpToDate>false</LinksUpToDate>
  <CharactersWithSpaces>0</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2025-03-31T06:34:00Z</dcterms:created>
  <dc:creator>Administrator</dc:creator>
  <cp:lastModifiedBy>kylin</cp:lastModifiedBy>
  <cp:lastPrinted>2025-04-16T14:32:00Z</cp:lastPrinted>
  <dcterms:modified xsi:type="dcterms:W3CDTF">2025-06-24T11:12:27Z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257EF5B99231280D3A07EA67F53978D7</vt:lpwstr>
  </property>
</Properties>
</file>