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A09661">
      <w:pPr>
        <w:pStyle w:val="2"/>
        <w:keepNext w:val="0"/>
        <w:keepLines w:val="0"/>
        <w:widowControl/>
        <w:suppressLineNumbers w:val="0"/>
        <w:spacing w:before="0" w:beforeAutospacing="0" w:line="315" w:lineRule="atLeast"/>
        <w:ind w:left="0" w:firstLine="0"/>
        <w:jc w:val="center"/>
        <w:rPr>
          <w:rFonts w:ascii="sans-serif" w:hAnsi="sans-serif" w:eastAsia="sans-serif" w:cs="sans-serif"/>
          <w:i w:val="0"/>
          <w:iCs w:val="0"/>
          <w:caps w:val="0"/>
          <w:color w:val="000000"/>
          <w:spacing w:val="0"/>
          <w:sz w:val="27"/>
          <w:szCs w:val="27"/>
        </w:rPr>
      </w:pPr>
      <w:bookmarkStart w:id="0" w:name="_GoBack"/>
      <w:r>
        <w:rPr>
          <w:rStyle w:val="5"/>
          <w:rFonts w:hint="eastAsia" w:ascii="宋体" w:hAnsi="宋体" w:eastAsia="宋体" w:cs="宋体"/>
          <w:i w:val="0"/>
          <w:iCs w:val="0"/>
          <w:caps w:val="0"/>
          <w:color w:val="000000"/>
          <w:spacing w:val="0"/>
          <w:sz w:val="52"/>
          <w:szCs w:val="52"/>
        </w:rPr>
        <w:t>宁乡市老粮仓镇人民政府</w:t>
      </w:r>
    </w:p>
    <w:p w14:paraId="79B413B3">
      <w:pPr>
        <w:pStyle w:val="2"/>
        <w:keepNext w:val="0"/>
        <w:keepLines w:val="0"/>
        <w:widowControl/>
        <w:suppressLineNumbers w:val="0"/>
        <w:spacing w:line="315" w:lineRule="atLeast"/>
        <w:ind w:left="0" w:firstLine="0"/>
        <w:jc w:val="center"/>
        <w:rPr>
          <w:rFonts w:hint="default" w:ascii="sans-serif" w:hAnsi="sans-serif" w:eastAsia="sans-serif" w:cs="sans-serif"/>
          <w:i w:val="0"/>
          <w:iCs w:val="0"/>
          <w:caps w:val="0"/>
          <w:color w:val="000000"/>
          <w:spacing w:val="0"/>
          <w:sz w:val="27"/>
          <w:szCs w:val="27"/>
        </w:rPr>
      </w:pPr>
      <w:r>
        <w:rPr>
          <w:rStyle w:val="5"/>
          <w:rFonts w:hint="eastAsia" w:ascii="宋体" w:hAnsi="宋体" w:eastAsia="宋体" w:cs="宋体"/>
          <w:i w:val="0"/>
          <w:iCs w:val="0"/>
          <w:caps w:val="0"/>
          <w:color w:val="000000"/>
          <w:spacing w:val="0"/>
          <w:sz w:val="52"/>
          <w:szCs w:val="52"/>
        </w:rPr>
        <w:t>2023年部门决算公开</w:t>
      </w:r>
    </w:p>
    <w:bookmarkEnd w:id="0"/>
    <w:p w14:paraId="056E4A0C">
      <w:pPr>
        <w:pStyle w:val="2"/>
        <w:keepNext w:val="0"/>
        <w:keepLines w:val="0"/>
        <w:widowControl/>
        <w:suppressLineNumbers w:val="0"/>
        <w:spacing w:line="555" w:lineRule="atLeast"/>
        <w:ind w:left="0" w:firstLine="720"/>
        <w:jc w:val="center"/>
        <w:rPr>
          <w:rFonts w:hint="default" w:ascii="sans-serif" w:hAnsi="sans-serif" w:eastAsia="sans-serif" w:cs="sans-serif"/>
          <w:i w:val="0"/>
          <w:iCs w:val="0"/>
          <w:caps w:val="0"/>
          <w:color w:val="000000"/>
          <w:spacing w:val="0"/>
          <w:sz w:val="27"/>
          <w:szCs w:val="27"/>
        </w:rPr>
      </w:pPr>
      <w:r>
        <w:rPr>
          <w:rFonts w:ascii="黑体" w:hAnsi="宋体" w:eastAsia="黑体" w:cs="黑体"/>
          <w:i w:val="0"/>
          <w:iCs w:val="0"/>
          <w:caps w:val="0"/>
          <w:color w:val="000000"/>
          <w:spacing w:val="0"/>
          <w:sz w:val="36"/>
          <w:szCs w:val="36"/>
        </w:rPr>
        <w:t>目录</w:t>
      </w:r>
      <w:r>
        <w:rPr>
          <w:rFonts w:hint="default" w:ascii="sans-serif" w:hAnsi="sans-serif" w:eastAsia="sans-serif" w:cs="sans-serif"/>
          <w:i w:val="0"/>
          <w:iCs w:val="0"/>
          <w:caps w:val="0"/>
          <w:color w:val="000000"/>
          <w:spacing w:val="0"/>
          <w:sz w:val="27"/>
          <w:szCs w:val="27"/>
        </w:rPr>
        <w:t> </w:t>
      </w:r>
    </w:p>
    <w:p w14:paraId="5D95AAD7">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28"/>
          <w:szCs w:val="28"/>
        </w:rPr>
        <w:t>第一部分</w:t>
      </w:r>
      <w:r>
        <w:rPr>
          <w:rFonts w:hint="default" w:ascii="sans-serif" w:hAnsi="sans-serif" w:eastAsia="sans-serif" w:cs="sans-serif"/>
          <w:i w:val="0"/>
          <w:iCs w:val="0"/>
          <w:caps w:val="0"/>
          <w:color w:val="000000"/>
          <w:spacing w:val="0"/>
          <w:sz w:val="27"/>
          <w:szCs w:val="27"/>
        </w:rPr>
        <w:t> </w:t>
      </w:r>
      <w:r>
        <w:rPr>
          <w:rFonts w:hint="eastAsia" w:ascii="黑体" w:hAnsi="宋体" w:eastAsia="黑体" w:cs="黑体"/>
          <w:i w:val="0"/>
          <w:iCs w:val="0"/>
          <w:caps w:val="0"/>
          <w:color w:val="000000"/>
          <w:spacing w:val="0"/>
          <w:sz w:val="28"/>
          <w:szCs w:val="28"/>
        </w:rPr>
        <w:t>宁乡市老粮仓镇人民政府概况</w:t>
      </w:r>
    </w:p>
    <w:p w14:paraId="4E42E4E5">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ascii="仿宋_GB2312" w:hAnsi="sans-serif" w:eastAsia="仿宋_GB2312" w:cs="仿宋_GB2312"/>
          <w:i w:val="0"/>
          <w:iCs w:val="0"/>
          <w:caps w:val="0"/>
          <w:color w:val="000000"/>
          <w:spacing w:val="0"/>
          <w:sz w:val="28"/>
          <w:szCs w:val="28"/>
        </w:rPr>
        <w:t>一、部门职责</w:t>
      </w:r>
    </w:p>
    <w:p w14:paraId="2752CB23">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二、机构设置</w:t>
      </w:r>
    </w:p>
    <w:p w14:paraId="0322EDBF">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28"/>
          <w:szCs w:val="28"/>
        </w:rPr>
        <w:t>第二部分</w:t>
      </w:r>
      <w:r>
        <w:rPr>
          <w:rFonts w:hint="default" w:ascii="sans-serif" w:hAnsi="sans-serif" w:eastAsia="sans-serif" w:cs="sans-serif"/>
          <w:i w:val="0"/>
          <w:iCs w:val="0"/>
          <w:caps w:val="0"/>
          <w:color w:val="000000"/>
          <w:spacing w:val="0"/>
          <w:sz w:val="27"/>
          <w:szCs w:val="27"/>
        </w:rPr>
        <w:t> </w:t>
      </w:r>
      <w:r>
        <w:rPr>
          <w:rFonts w:hint="eastAsia" w:ascii="黑体" w:hAnsi="宋体" w:eastAsia="黑体" w:cs="黑体"/>
          <w:i w:val="0"/>
          <w:iCs w:val="0"/>
          <w:caps w:val="0"/>
          <w:color w:val="000000"/>
          <w:spacing w:val="0"/>
          <w:sz w:val="28"/>
          <w:szCs w:val="28"/>
        </w:rPr>
        <w:t>部门决算表</w:t>
      </w:r>
    </w:p>
    <w:p w14:paraId="034D0DAA">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一、收入支出决算总表</w:t>
      </w:r>
    </w:p>
    <w:p w14:paraId="2F248D7F">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二、收入决算表</w:t>
      </w:r>
    </w:p>
    <w:p w14:paraId="0FB90F9D">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三、支出决算表</w:t>
      </w:r>
    </w:p>
    <w:p w14:paraId="26BC0E7B">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四、财政拨款收入支出决算总表</w:t>
      </w:r>
    </w:p>
    <w:p w14:paraId="74D1C55A">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五、一般公共预算财政拨款支出决算表</w:t>
      </w:r>
    </w:p>
    <w:p w14:paraId="625141A1">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六、一般公共预算财政拨款基本支出决算明细表</w:t>
      </w:r>
    </w:p>
    <w:p w14:paraId="774F7DBF">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七、政府性基金预算财政拨款收入支出决算表</w:t>
      </w:r>
    </w:p>
    <w:p w14:paraId="0A0B2B6F">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八、国有资本经营预算财政拨款支出决算表</w:t>
      </w:r>
    </w:p>
    <w:p w14:paraId="43B539CF">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九、财政拨款“三公”经费支出决算表</w:t>
      </w:r>
    </w:p>
    <w:p w14:paraId="5FD5BEBD">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28"/>
          <w:szCs w:val="28"/>
        </w:rPr>
        <w:t>第三部分</w:t>
      </w:r>
      <w:r>
        <w:rPr>
          <w:rFonts w:hint="default" w:ascii="sans-serif" w:hAnsi="sans-serif" w:eastAsia="sans-serif" w:cs="sans-serif"/>
          <w:i w:val="0"/>
          <w:iCs w:val="0"/>
          <w:caps w:val="0"/>
          <w:color w:val="000000"/>
          <w:spacing w:val="0"/>
          <w:sz w:val="27"/>
          <w:szCs w:val="27"/>
        </w:rPr>
        <w:t> </w:t>
      </w:r>
      <w:r>
        <w:rPr>
          <w:rFonts w:hint="eastAsia" w:ascii="黑体" w:hAnsi="宋体" w:eastAsia="黑体" w:cs="黑体"/>
          <w:i w:val="0"/>
          <w:iCs w:val="0"/>
          <w:caps w:val="0"/>
          <w:color w:val="000000"/>
          <w:spacing w:val="0"/>
          <w:sz w:val="28"/>
          <w:szCs w:val="28"/>
        </w:rPr>
        <w:t>部门决算情况说明</w:t>
      </w:r>
    </w:p>
    <w:p w14:paraId="4B32BC10">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一、收入支出决算总体情况说明</w:t>
      </w:r>
    </w:p>
    <w:p w14:paraId="3142E71F">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二、收入决算情况说明</w:t>
      </w:r>
    </w:p>
    <w:p w14:paraId="24775D94">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三、支出决算情况说明</w:t>
      </w:r>
    </w:p>
    <w:p w14:paraId="1F0D5FE0">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四、财政拨款收入支出决算总体情况说明</w:t>
      </w:r>
    </w:p>
    <w:p w14:paraId="7C8D70E0">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五、一般公共预算财政拨款支出决算情况说明</w:t>
      </w:r>
    </w:p>
    <w:p w14:paraId="1DA1D237">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六、一般公共预算财政拨款基本支出决算情况说明</w:t>
      </w:r>
    </w:p>
    <w:p w14:paraId="45926B14">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七、财政拨款三公经费支出决算情况说明</w:t>
      </w:r>
    </w:p>
    <w:p w14:paraId="4DD55BF6">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八、政府性基金预算收入支出决算情况说明</w:t>
      </w:r>
    </w:p>
    <w:p w14:paraId="21118A4C">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九、国有资本经营预算收入支出决算情况说明</w:t>
      </w:r>
    </w:p>
    <w:p w14:paraId="4775AF90">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十、关于机关运行经费支出说明</w:t>
      </w:r>
    </w:p>
    <w:p w14:paraId="32514FC0">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十一、一般性支出情况说明</w:t>
      </w:r>
    </w:p>
    <w:p w14:paraId="07F052C4">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十二、关于政府采购支出说明</w:t>
      </w:r>
    </w:p>
    <w:p w14:paraId="1FFC2710">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十三、关于国有资产占用情况说明</w:t>
      </w:r>
    </w:p>
    <w:p w14:paraId="01D6D677">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十四、关于</w:t>
      </w:r>
      <w:r>
        <w:rPr>
          <w:rFonts w:hint="default" w:ascii="Times New Roman" w:hAnsi="Times New Roman" w:eastAsia="sans-serif" w:cs="Times New Roman"/>
          <w:i w:val="0"/>
          <w:iCs w:val="0"/>
          <w:caps w:val="0"/>
          <w:color w:val="000000"/>
          <w:spacing w:val="0"/>
          <w:sz w:val="28"/>
          <w:szCs w:val="28"/>
        </w:rPr>
        <w:t>2023</w:t>
      </w:r>
      <w:r>
        <w:rPr>
          <w:rFonts w:hint="eastAsia" w:ascii="仿宋_GB2312" w:hAnsi="sans-serif" w:eastAsia="仿宋_GB2312" w:cs="仿宋_GB2312"/>
          <w:i w:val="0"/>
          <w:iCs w:val="0"/>
          <w:caps w:val="0"/>
          <w:color w:val="000000"/>
          <w:spacing w:val="0"/>
          <w:sz w:val="28"/>
          <w:szCs w:val="28"/>
        </w:rPr>
        <w:t>年度预算绩效情况的说明</w:t>
      </w:r>
    </w:p>
    <w:p w14:paraId="269811FB">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28"/>
          <w:szCs w:val="28"/>
        </w:rPr>
        <w:t>第四部分</w:t>
      </w:r>
      <w:r>
        <w:rPr>
          <w:rFonts w:hint="default" w:ascii="sans-serif" w:hAnsi="sans-serif" w:eastAsia="sans-serif" w:cs="sans-serif"/>
          <w:i w:val="0"/>
          <w:iCs w:val="0"/>
          <w:caps w:val="0"/>
          <w:color w:val="000000"/>
          <w:spacing w:val="0"/>
          <w:sz w:val="27"/>
          <w:szCs w:val="27"/>
        </w:rPr>
        <w:t> </w:t>
      </w:r>
      <w:r>
        <w:rPr>
          <w:rFonts w:hint="eastAsia" w:ascii="黑体" w:hAnsi="宋体" w:eastAsia="黑体" w:cs="黑体"/>
          <w:i w:val="0"/>
          <w:iCs w:val="0"/>
          <w:caps w:val="0"/>
          <w:color w:val="000000"/>
          <w:spacing w:val="0"/>
          <w:sz w:val="28"/>
          <w:szCs w:val="28"/>
        </w:rPr>
        <w:t>名词解释</w:t>
      </w:r>
    </w:p>
    <w:p w14:paraId="6B9A0FAC">
      <w:pPr>
        <w:pStyle w:val="2"/>
        <w:keepNext w:val="0"/>
        <w:keepLines w:val="0"/>
        <w:widowControl/>
        <w:suppressLineNumbers w:val="0"/>
        <w:spacing w:before="120" w:beforeAutospacing="0" w:after="120" w:afterAutospacing="0" w:line="555" w:lineRule="atLeast"/>
        <w:ind w:left="0" w:firstLine="720"/>
        <w:jc w:val="center"/>
        <w:rPr>
          <w:rFonts w:hint="default" w:ascii="sans-serif" w:hAnsi="sans-serif" w:eastAsia="sans-serif" w:cs="sans-serif"/>
          <w:i w:val="0"/>
          <w:iCs w:val="0"/>
          <w:caps w:val="0"/>
          <w:color w:val="000000"/>
          <w:spacing w:val="0"/>
          <w:sz w:val="27"/>
          <w:szCs w:val="27"/>
        </w:rPr>
      </w:pPr>
      <w:r>
        <w:rPr>
          <w:rFonts w:ascii="方正小标宋_GBK" w:hAnsi="方正小标宋_GBK" w:eastAsia="方正小标宋_GBK" w:cs="方正小标宋_GBK"/>
          <w:i w:val="0"/>
          <w:iCs w:val="0"/>
          <w:caps w:val="0"/>
          <w:color w:val="000000"/>
          <w:spacing w:val="0"/>
          <w:sz w:val="36"/>
          <w:szCs w:val="36"/>
        </w:rPr>
        <w:t>第一部分</w:t>
      </w:r>
    </w:p>
    <w:p w14:paraId="2261C976">
      <w:pPr>
        <w:pStyle w:val="2"/>
        <w:keepNext w:val="0"/>
        <w:keepLines w:val="0"/>
        <w:widowControl/>
        <w:suppressLineNumbers w:val="0"/>
        <w:spacing w:before="120" w:beforeAutospacing="0" w:after="120" w:afterAutospacing="0" w:line="555" w:lineRule="atLeast"/>
        <w:ind w:left="0" w:firstLine="720"/>
        <w:jc w:val="center"/>
        <w:rPr>
          <w:rFonts w:hint="default" w:ascii="sans-serif" w:hAnsi="sans-serif" w:eastAsia="sans-serif" w:cs="sans-serif"/>
          <w:i w:val="0"/>
          <w:iCs w:val="0"/>
          <w:caps w:val="0"/>
          <w:color w:val="000000"/>
          <w:spacing w:val="0"/>
          <w:sz w:val="27"/>
          <w:szCs w:val="27"/>
        </w:rPr>
      </w:pPr>
      <w:r>
        <w:rPr>
          <w:rFonts w:hint="eastAsia" w:ascii="方正小标宋_GBK" w:hAnsi="方正小标宋_GBK" w:eastAsia="方正小标宋_GBK" w:cs="方正小标宋_GBK"/>
          <w:i w:val="0"/>
          <w:iCs w:val="0"/>
          <w:caps w:val="0"/>
          <w:color w:val="000000"/>
          <w:spacing w:val="0"/>
          <w:sz w:val="36"/>
          <w:szCs w:val="36"/>
        </w:rPr>
        <w:t>宁乡市老粮仓镇人民政府单位概况</w:t>
      </w:r>
    </w:p>
    <w:p w14:paraId="4EE3642D">
      <w:pPr>
        <w:pStyle w:val="2"/>
        <w:keepNext w:val="0"/>
        <w:keepLines w:val="0"/>
        <w:widowControl/>
        <w:suppressLineNumbers w:val="0"/>
        <w:spacing w:before="120" w:beforeAutospacing="0" w:after="120" w:afterAutospacing="0" w:line="555" w:lineRule="atLeast"/>
        <w:ind w:left="0" w:firstLine="600"/>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30"/>
          <w:szCs w:val="30"/>
        </w:rPr>
        <w:t>一、 部门职责</w:t>
      </w:r>
    </w:p>
    <w:p w14:paraId="230EB57E">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（一）</w:t>
      </w:r>
      <w:r>
        <w:rPr>
          <w:rStyle w:val="5"/>
          <w:rFonts w:hint="eastAsia" w:ascii="仿宋_GB2312" w:hAnsi="sans-serif" w:eastAsia="仿宋_GB2312" w:cs="仿宋_GB2312"/>
          <w:i w:val="0"/>
          <w:iCs w:val="0"/>
          <w:caps w:val="0"/>
          <w:color w:val="333333"/>
          <w:spacing w:val="0"/>
          <w:sz w:val="28"/>
          <w:szCs w:val="28"/>
        </w:rPr>
        <w:t>主管全镇域内全面工作</w:t>
      </w:r>
    </w:p>
    <w:p w14:paraId="709D702A">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333333"/>
          <w:spacing w:val="0"/>
          <w:sz w:val="28"/>
          <w:szCs w:val="28"/>
        </w:rPr>
        <w:t>老粮仓镇位于宁乡市中西部，全镇有8个村民委员会，2个社区。</w:t>
      </w:r>
    </w:p>
    <w:p w14:paraId="7CBEBA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333333"/>
          <w:spacing w:val="0"/>
          <w:sz w:val="28"/>
          <w:szCs w:val="28"/>
          <w:bdr w:val="none" w:color="auto" w:sz="0" w:space="0"/>
        </w:rPr>
        <w:t>1、指导村（社区）工作，宣传教育群众遵守法律法规，密切政府同群众的关系，完善基层社会治理。</w:t>
      </w:r>
    </w:p>
    <w:p w14:paraId="0093F4E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333333"/>
          <w:spacing w:val="0"/>
          <w:sz w:val="28"/>
          <w:szCs w:val="28"/>
          <w:bdr w:val="none" w:color="auto" w:sz="0" w:space="0"/>
        </w:rPr>
        <w:t>2、落实社会保障基本政策，做好住保、低保、社保、医保、失业保险和就业再就业、拥军优抚、社会救助等工作。</w:t>
      </w:r>
    </w:p>
    <w:p w14:paraId="6D70792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333333"/>
          <w:spacing w:val="0"/>
          <w:sz w:val="28"/>
          <w:szCs w:val="28"/>
          <w:bdr w:val="none" w:color="auto" w:sz="0" w:space="0"/>
        </w:rPr>
        <w:t>3、优化经济发展环境，做好招商引资和产业发展工作，做好规划、国土和项目工程建设。</w:t>
      </w:r>
    </w:p>
    <w:p w14:paraId="1DBAB8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333333"/>
          <w:spacing w:val="0"/>
          <w:sz w:val="28"/>
          <w:szCs w:val="28"/>
          <w:bdr w:val="none" w:color="auto" w:sz="0" w:space="0"/>
        </w:rPr>
        <w:t>4、负责辖区内的基层综合治理工作，组织法制宣传教育，建立健全人民调解网络。</w:t>
      </w:r>
    </w:p>
    <w:p w14:paraId="6DD478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333333"/>
          <w:spacing w:val="0"/>
          <w:sz w:val="28"/>
          <w:szCs w:val="28"/>
          <w:bdr w:val="none" w:color="auto" w:sz="0" w:space="0"/>
        </w:rPr>
        <w:t>5、负责城乡管理工作，开展爱国卫生运动和文明创建活动，人居环境整治、生态环境保护等工作。</w:t>
      </w:r>
    </w:p>
    <w:p w14:paraId="6C92B31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333333"/>
          <w:spacing w:val="0"/>
          <w:sz w:val="28"/>
          <w:szCs w:val="28"/>
          <w:bdr w:val="none" w:color="auto" w:sz="0" w:space="0"/>
        </w:rPr>
        <w:t>6、组织开展计划生育宣传教育服务工作，指导辖区人口和健康管理工作。</w:t>
      </w:r>
    </w:p>
    <w:p w14:paraId="787732E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333333"/>
          <w:spacing w:val="0"/>
          <w:sz w:val="28"/>
          <w:szCs w:val="28"/>
          <w:bdr w:val="none" w:color="auto" w:sz="0" w:space="0"/>
        </w:rPr>
        <w:t>7、负责配合上级部门开展辖区生产安全、食品安全、消防安全、交通安全等安全生产监督管理工作。</w:t>
      </w:r>
    </w:p>
    <w:p w14:paraId="4CE851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333333"/>
          <w:spacing w:val="0"/>
          <w:sz w:val="28"/>
          <w:szCs w:val="28"/>
          <w:bdr w:val="none" w:color="auto" w:sz="0" w:space="0"/>
        </w:rPr>
        <w:t>8、负责协助上级部门做好农、林、水、畜等方面的监督管理工作，落实辖区乡村振兴、精准扶贫和防汛抗旱等工作。</w:t>
      </w:r>
    </w:p>
    <w:p w14:paraId="09AD34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333333"/>
          <w:spacing w:val="0"/>
          <w:sz w:val="28"/>
          <w:szCs w:val="28"/>
          <w:bdr w:val="none" w:color="auto" w:sz="0" w:space="0"/>
        </w:rPr>
        <w:t>9、做好全镇廉政建设、基层干部培养考核工作。</w:t>
      </w:r>
    </w:p>
    <w:p w14:paraId="5D86C6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333333"/>
          <w:spacing w:val="0"/>
          <w:sz w:val="28"/>
          <w:szCs w:val="28"/>
          <w:bdr w:val="none" w:color="auto" w:sz="0" w:space="0"/>
        </w:rPr>
        <w:t>10、完成市委、市政府交办的其他事项。</w:t>
      </w:r>
    </w:p>
    <w:p w14:paraId="32A66CC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bdr w:val="none" w:color="auto" w:sz="0" w:space="0"/>
        </w:rPr>
        <w:t>（二）</w:t>
      </w:r>
      <w:r>
        <w:rPr>
          <w:rStyle w:val="5"/>
          <w:rFonts w:hint="eastAsia" w:ascii="仿宋_GB2312" w:hAnsi="sans-serif" w:eastAsia="仿宋_GB2312" w:cs="仿宋_GB2312"/>
          <w:i w:val="0"/>
          <w:iCs w:val="0"/>
          <w:caps w:val="0"/>
          <w:color w:val="333333"/>
          <w:spacing w:val="0"/>
          <w:sz w:val="28"/>
          <w:szCs w:val="28"/>
          <w:bdr w:val="none" w:color="auto" w:sz="0" w:space="0"/>
        </w:rPr>
        <w:t>具体职能职责</w:t>
      </w:r>
    </w:p>
    <w:p w14:paraId="43CD88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333333"/>
          <w:spacing w:val="0"/>
          <w:sz w:val="28"/>
          <w:szCs w:val="28"/>
          <w:bdr w:val="none" w:color="auto" w:sz="0" w:space="0"/>
        </w:rPr>
        <w:t>老粮仓镇人民政府部门共设三中心一所一机关一执法队，具体职能职责如下：</w:t>
      </w:r>
    </w:p>
    <w:p w14:paraId="12E5A2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333333"/>
          <w:spacing w:val="0"/>
          <w:sz w:val="28"/>
          <w:szCs w:val="28"/>
          <w:bdr w:val="none" w:color="auto" w:sz="0" w:space="0"/>
        </w:rPr>
        <w:t>社会事务综合服务中心，负责本行政区域内的民政、计划生育、文化教育、卫生、体育等社会公益事业工作，维护一切经济单位和个人的正当经济权益，取缔非法经济活动，调解和处理民事纠纷，维护社会稳定。</w:t>
      </w:r>
    </w:p>
    <w:p w14:paraId="4C6E409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333333"/>
          <w:spacing w:val="0"/>
          <w:sz w:val="28"/>
          <w:szCs w:val="28"/>
          <w:bdr w:val="none" w:color="auto" w:sz="0" w:space="0"/>
        </w:rPr>
        <w:t>农业综合服务中心，主要承担农林水等产业新技术、新品种的示范、推广、动植物防疫、病虫害及疫情的检测、预报、防治和处理，畜禽与畜禽产品检疫、检验、水资源管理、防汛抗旱、农田水利建设、农业机械管理、农产品质量安全监测等职责。</w:t>
      </w:r>
    </w:p>
    <w:p w14:paraId="747B48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333333"/>
          <w:spacing w:val="0"/>
          <w:sz w:val="28"/>
          <w:szCs w:val="28"/>
          <w:bdr w:val="none" w:color="auto" w:sz="0" w:space="0"/>
        </w:rPr>
        <w:t>政务中心，主要承担文化宣传、广播影视、法制教育、文艺演出、群众体育、科技推广、科普培训、安全生产监管、食品安全监管等职责。</w:t>
      </w:r>
    </w:p>
    <w:p w14:paraId="02007EC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333333"/>
          <w:spacing w:val="0"/>
          <w:sz w:val="28"/>
          <w:szCs w:val="28"/>
          <w:bdr w:val="none" w:color="auto" w:sz="0" w:space="0"/>
        </w:rPr>
        <w:t>老粮仓镇司法所，主要承担司法调处工作。</w:t>
      </w:r>
    </w:p>
    <w:p w14:paraId="1A3232B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333333"/>
          <w:spacing w:val="0"/>
          <w:sz w:val="28"/>
          <w:szCs w:val="28"/>
          <w:bdr w:val="none" w:color="auto" w:sz="0" w:space="0"/>
        </w:rPr>
        <w:t>老粮仓镇综合执法大队，主要负责辖区内城管、综合治理等职责。</w:t>
      </w:r>
    </w:p>
    <w:p w14:paraId="592378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333333"/>
          <w:spacing w:val="0"/>
          <w:sz w:val="28"/>
          <w:szCs w:val="28"/>
          <w:bdr w:val="none" w:color="auto" w:sz="0" w:space="0"/>
        </w:rPr>
        <w:t>老粮仓镇机关，承担全镇税收收缴，财政资金收入，调度、使用和监管、主管政府全面工作。</w:t>
      </w:r>
    </w:p>
    <w:p w14:paraId="0007AF0A">
      <w:pPr>
        <w:pStyle w:val="2"/>
        <w:keepNext w:val="0"/>
        <w:keepLines w:val="0"/>
        <w:widowControl/>
        <w:suppressLineNumbers w:val="0"/>
        <w:spacing w:before="120" w:beforeAutospacing="0" w:after="120" w:afterAutospacing="0" w:line="555" w:lineRule="atLeast"/>
        <w:ind w:left="0" w:firstLine="600"/>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30"/>
          <w:szCs w:val="30"/>
        </w:rPr>
        <w:t>二、机构设置及决算单位构成</w:t>
      </w:r>
    </w:p>
    <w:p w14:paraId="0E19941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bdr w:val="none" w:color="auto" w:sz="0" w:space="0"/>
        </w:rPr>
        <w:t>（一）内设机构设置</w:t>
      </w:r>
    </w:p>
    <w:p w14:paraId="60C39B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333333"/>
          <w:spacing w:val="0"/>
          <w:sz w:val="28"/>
          <w:szCs w:val="28"/>
          <w:bdr w:val="none" w:color="auto" w:sz="0" w:space="0"/>
        </w:rPr>
        <w:t>宁乡市老粮仓镇人民政府内设机构包括：机关、政务服务中心、农业综合服务中心、社会事务综合中心、司法所、行政综合执法大队6个内设机构。</w:t>
      </w:r>
    </w:p>
    <w:p w14:paraId="0063A875">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（二）</w:t>
      </w:r>
      <w:r>
        <w:rPr>
          <w:rStyle w:val="5"/>
          <w:rFonts w:hint="eastAsia" w:ascii="仿宋_GB2312" w:hAnsi="sans-serif" w:eastAsia="仿宋_GB2312" w:cs="仿宋_GB2312"/>
          <w:i w:val="0"/>
          <w:iCs w:val="0"/>
          <w:caps w:val="0"/>
          <w:color w:val="000000"/>
          <w:spacing w:val="0"/>
          <w:sz w:val="28"/>
          <w:szCs w:val="28"/>
        </w:rPr>
        <w:t>决算单位构成</w:t>
      </w:r>
    </w:p>
    <w:p w14:paraId="00DFEAD9">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333333"/>
          <w:spacing w:val="0"/>
          <w:sz w:val="28"/>
          <w:szCs w:val="28"/>
        </w:rPr>
        <w:t>宁乡市老粮仓镇人民政府单位2023年部门决算汇总公开单位构成包括：宁乡市老粮仓镇人民政府单位本级，无二级单位。</w:t>
      </w:r>
    </w:p>
    <w:p w14:paraId="34422595">
      <w:pPr>
        <w:pStyle w:val="2"/>
        <w:keepNext w:val="0"/>
        <w:keepLines w:val="0"/>
        <w:widowControl/>
        <w:suppressLineNumbers w:val="0"/>
        <w:spacing w:line="555" w:lineRule="atLeast"/>
        <w:ind w:left="0" w:firstLine="720"/>
        <w:jc w:val="center"/>
        <w:rPr>
          <w:rFonts w:hint="default" w:ascii="sans-serif" w:hAnsi="sans-serif" w:eastAsia="sans-serif" w:cs="sans-serif"/>
          <w:i w:val="0"/>
          <w:iCs w:val="0"/>
          <w:caps w:val="0"/>
          <w:color w:val="000000"/>
          <w:spacing w:val="0"/>
          <w:sz w:val="27"/>
          <w:szCs w:val="27"/>
        </w:rPr>
      </w:pPr>
      <w:r>
        <w:rPr>
          <w:rFonts w:hint="eastAsia" w:ascii="方正小标宋_GBK" w:hAnsi="方正小标宋_GBK" w:eastAsia="方正小标宋_GBK" w:cs="方正小标宋_GBK"/>
          <w:i w:val="0"/>
          <w:iCs w:val="0"/>
          <w:caps w:val="0"/>
          <w:color w:val="000000"/>
          <w:spacing w:val="0"/>
          <w:sz w:val="36"/>
          <w:szCs w:val="36"/>
        </w:rPr>
        <w:t>第二部分</w:t>
      </w:r>
    </w:p>
    <w:p w14:paraId="3B48488B">
      <w:pPr>
        <w:pStyle w:val="2"/>
        <w:keepNext w:val="0"/>
        <w:keepLines w:val="0"/>
        <w:widowControl/>
        <w:suppressLineNumbers w:val="0"/>
        <w:spacing w:line="555" w:lineRule="atLeast"/>
        <w:ind w:left="0" w:firstLine="720"/>
        <w:jc w:val="center"/>
        <w:rPr>
          <w:rFonts w:hint="default" w:ascii="sans-serif" w:hAnsi="sans-serif" w:eastAsia="sans-serif" w:cs="sans-serif"/>
          <w:i w:val="0"/>
          <w:iCs w:val="0"/>
          <w:caps w:val="0"/>
          <w:color w:val="000000"/>
          <w:spacing w:val="0"/>
          <w:sz w:val="27"/>
          <w:szCs w:val="27"/>
        </w:rPr>
      </w:pPr>
      <w:r>
        <w:rPr>
          <w:rFonts w:hint="eastAsia" w:ascii="方正小标宋_GBK" w:hAnsi="方正小标宋_GBK" w:eastAsia="方正小标宋_GBK" w:cs="方正小标宋_GBK"/>
          <w:i w:val="0"/>
          <w:iCs w:val="0"/>
          <w:caps w:val="0"/>
          <w:color w:val="000000"/>
          <w:spacing w:val="0"/>
          <w:sz w:val="36"/>
          <w:szCs w:val="36"/>
        </w:rPr>
        <w:t>部门决算表</w:t>
      </w:r>
    </w:p>
    <w:p w14:paraId="606CD7E7">
      <w:pPr>
        <w:pStyle w:val="2"/>
        <w:keepNext w:val="0"/>
        <w:keepLines w:val="0"/>
        <w:widowControl/>
        <w:suppressLineNumbers w:val="0"/>
        <w:spacing w:before="180" w:beforeAutospacing="0" w:after="120" w:afterAutospacing="0" w:line="368" w:lineRule="atLeast"/>
        <w:ind w:left="0" w:firstLine="555"/>
        <w:jc w:val="both"/>
        <w:rPr>
          <w:rFonts w:hint="default" w:ascii="sans-serif" w:hAnsi="sans-serif" w:eastAsia="sans-serif" w:cs="sans-serif"/>
          <w:i w:val="0"/>
          <w:iCs w:val="0"/>
          <w:caps w:val="0"/>
          <w:color w:val="000000"/>
          <w:spacing w:val="0"/>
          <w:sz w:val="28"/>
          <w:szCs w:val="28"/>
        </w:rPr>
      </w:pPr>
      <w:r>
        <w:rPr>
          <w:rFonts w:hint="eastAsia" w:ascii="仿宋_GB2312" w:hAnsi="sans-serif" w:eastAsia="仿宋_GB2312" w:cs="仿宋_GB2312"/>
          <w:i w:val="0"/>
          <w:iCs w:val="0"/>
          <w:caps w:val="0"/>
          <w:color w:val="000000"/>
          <w:spacing w:val="0"/>
          <w:sz w:val="28"/>
          <w:szCs w:val="28"/>
        </w:rPr>
        <w:t>一、收入支出决算总表</w:t>
      </w:r>
    </w:p>
    <w:p w14:paraId="3316BE03">
      <w:pPr>
        <w:pStyle w:val="2"/>
        <w:keepNext w:val="0"/>
        <w:keepLines w:val="0"/>
        <w:widowControl/>
        <w:suppressLineNumbers w:val="0"/>
        <w:spacing w:before="180" w:beforeAutospacing="0" w:after="120" w:afterAutospacing="0" w:line="368" w:lineRule="atLeast"/>
        <w:ind w:left="0" w:firstLine="555"/>
        <w:jc w:val="both"/>
        <w:rPr>
          <w:rFonts w:hint="default" w:ascii="sans-serif" w:hAnsi="sans-serif" w:eastAsia="sans-serif" w:cs="sans-serif"/>
          <w:i w:val="0"/>
          <w:iCs w:val="0"/>
          <w:caps w:val="0"/>
          <w:color w:val="000000"/>
          <w:spacing w:val="0"/>
          <w:sz w:val="28"/>
          <w:szCs w:val="28"/>
        </w:rPr>
      </w:pPr>
      <w:r>
        <w:rPr>
          <w:rFonts w:hint="eastAsia" w:ascii="仿宋_GB2312" w:hAnsi="sans-serif" w:eastAsia="仿宋_GB2312" w:cs="仿宋_GB2312"/>
          <w:i w:val="0"/>
          <w:iCs w:val="0"/>
          <w:caps w:val="0"/>
          <w:color w:val="000000"/>
          <w:spacing w:val="0"/>
          <w:sz w:val="28"/>
          <w:szCs w:val="28"/>
        </w:rPr>
        <w:t>二、收入决算表</w:t>
      </w:r>
    </w:p>
    <w:p w14:paraId="35A4E1BA">
      <w:pPr>
        <w:pStyle w:val="2"/>
        <w:keepNext w:val="0"/>
        <w:keepLines w:val="0"/>
        <w:widowControl/>
        <w:suppressLineNumbers w:val="0"/>
        <w:spacing w:before="180" w:beforeAutospacing="0" w:after="120" w:afterAutospacing="0" w:line="368" w:lineRule="atLeast"/>
        <w:ind w:left="0" w:firstLine="555"/>
        <w:jc w:val="both"/>
        <w:rPr>
          <w:rFonts w:hint="default" w:ascii="sans-serif" w:hAnsi="sans-serif" w:eastAsia="sans-serif" w:cs="sans-serif"/>
          <w:i w:val="0"/>
          <w:iCs w:val="0"/>
          <w:caps w:val="0"/>
          <w:color w:val="000000"/>
          <w:spacing w:val="0"/>
          <w:sz w:val="28"/>
          <w:szCs w:val="28"/>
        </w:rPr>
      </w:pPr>
      <w:r>
        <w:rPr>
          <w:rFonts w:hint="eastAsia" w:ascii="仿宋_GB2312" w:hAnsi="sans-serif" w:eastAsia="仿宋_GB2312" w:cs="仿宋_GB2312"/>
          <w:i w:val="0"/>
          <w:iCs w:val="0"/>
          <w:caps w:val="0"/>
          <w:color w:val="000000"/>
          <w:spacing w:val="0"/>
          <w:sz w:val="28"/>
          <w:szCs w:val="28"/>
        </w:rPr>
        <w:t>三、支出决算表</w:t>
      </w:r>
    </w:p>
    <w:p w14:paraId="3B9E6D76">
      <w:pPr>
        <w:pStyle w:val="2"/>
        <w:keepNext w:val="0"/>
        <w:keepLines w:val="0"/>
        <w:widowControl/>
        <w:suppressLineNumbers w:val="0"/>
        <w:spacing w:before="180" w:beforeAutospacing="0" w:after="120" w:afterAutospacing="0" w:line="368" w:lineRule="atLeast"/>
        <w:ind w:left="0" w:firstLine="555"/>
        <w:jc w:val="both"/>
        <w:rPr>
          <w:rFonts w:hint="default" w:ascii="sans-serif" w:hAnsi="sans-serif" w:eastAsia="sans-serif" w:cs="sans-serif"/>
          <w:i w:val="0"/>
          <w:iCs w:val="0"/>
          <w:caps w:val="0"/>
          <w:color w:val="000000"/>
          <w:spacing w:val="0"/>
          <w:sz w:val="28"/>
          <w:szCs w:val="28"/>
        </w:rPr>
      </w:pPr>
      <w:r>
        <w:rPr>
          <w:rFonts w:hint="eastAsia" w:ascii="仿宋_GB2312" w:hAnsi="sans-serif" w:eastAsia="仿宋_GB2312" w:cs="仿宋_GB2312"/>
          <w:i w:val="0"/>
          <w:iCs w:val="0"/>
          <w:caps w:val="0"/>
          <w:color w:val="000000"/>
          <w:spacing w:val="0"/>
          <w:sz w:val="28"/>
          <w:szCs w:val="28"/>
        </w:rPr>
        <w:t>四、财政拨款收入支出决算总表</w:t>
      </w:r>
    </w:p>
    <w:p w14:paraId="3C4D8961">
      <w:pPr>
        <w:pStyle w:val="2"/>
        <w:keepNext w:val="0"/>
        <w:keepLines w:val="0"/>
        <w:widowControl/>
        <w:suppressLineNumbers w:val="0"/>
        <w:spacing w:before="180" w:beforeAutospacing="0" w:after="120" w:afterAutospacing="0" w:line="368" w:lineRule="atLeast"/>
        <w:ind w:left="0" w:firstLine="555"/>
        <w:jc w:val="both"/>
        <w:rPr>
          <w:rFonts w:hint="default" w:ascii="sans-serif" w:hAnsi="sans-serif" w:eastAsia="sans-serif" w:cs="sans-serif"/>
          <w:i w:val="0"/>
          <w:iCs w:val="0"/>
          <w:caps w:val="0"/>
          <w:color w:val="000000"/>
          <w:spacing w:val="0"/>
          <w:sz w:val="28"/>
          <w:szCs w:val="28"/>
        </w:rPr>
      </w:pPr>
      <w:r>
        <w:rPr>
          <w:rFonts w:hint="eastAsia" w:ascii="仿宋_GB2312" w:hAnsi="sans-serif" w:eastAsia="仿宋_GB2312" w:cs="仿宋_GB2312"/>
          <w:i w:val="0"/>
          <w:iCs w:val="0"/>
          <w:caps w:val="0"/>
          <w:color w:val="000000"/>
          <w:spacing w:val="0"/>
          <w:sz w:val="28"/>
          <w:szCs w:val="28"/>
        </w:rPr>
        <w:t>五、一般公共预算财政拨款支出决算表</w:t>
      </w:r>
    </w:p>
    <w:p w14:paraId="6CE5EFA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20" w:afterAutospacing="0" w:line="368" w:lineRule="atLeast"/>
        <w:ind w:left="0" w:right="0" w:firstLine="555"/>
        <w:jc w:val="both"/>
        <w:textAlignment w:val="center"/>
        <w:rPr>
          <w:rFonts w:hint="default" w:ascii="sans-serif" w:hAnsi="sans-serif" w:eastAsia="sans-serif" w:cs="sans-serif"/>
          <w:i w:val="0"/>
          <w:iCs w:val="0"/>
          <w:caps w:val="0"/>
          <w:color w:val="000000"/>
          <w:spacing w:val="0"/>
          <w:sz w:val="28"/>
          <w:szCs w:val="28"/>
        </w:rPr>
      </w:pPr>
      <w:r>
        <w:rPr>
          <w:rFonts w:hint="eastAsia" w:ascii="仿宋_GB2312" w:hAnsi="sans-serif" w:eastAsia="仿宋_GB2312" w:cs="仿宋_GB2312"/>
          <w:i w:val="0"/>
          <w:iCs w:val="0"/>
          <w:caps w:val="0"/>
          <w:color w:val="000000"/>
          <w:spacing w:val="0"/>
          <w:sz w:val="28"/>
          <w:szCs w:val="28"/>
          <w:bdr w:val="none" w:color="auto" w:sz="0" w:space="0"/>
        </w:rPr>
        <w:t>六、一般公共预算财政拨款基本支出决算表</w:t>
      </w:r>
    </w:p>
    <w:p w14:paraId="5B3826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20" w:afterAutospacing="0" w:line="368" w:lineRule="atLeast"/>
        <w:ind w:left="0" w:right="0" w:firstLine="555"/>
        <w:jc w:val="both"/>
        <w:textAlignment w:val="center"/>
        <w:rPr>
          <w:rFonts w:hint="default" w:ascii="sans-serif" w:hAnsi="sans-serif" w:eastAsia="sans-serif" w:cs="sans-serif"/>
          <w:i w:val="0"/>
          <w:iCs w:val="0"/>
          <w:caps w:val="0"/>
          <w:color w:val="000000"/>
          <w:spacing w:val="0"/>
          <w:sz w:val="28"/>
          <w:szCs w:val="28"/>
        </w:rPr>
      </w:pPr>
      <w:r>
        <w:rPr>
          <w:rFonts w:hint="eastAsia" w:ascii="仿宋_GB2312" w:hAnsi="sans-serif" w:eastAsia="仿宋_GB2312" w:cs="仿宋_GB2312"/>
          <w:i w:val="0"/>
          <w:iCs w:val="0"/>
          <w:caps w:val="0"/>
          <w:color w:val="000000"/>
          <w:spacing w:val="0"/>
          <w:sz w:val="28"/>
          <w:szCs w:val="28"/>
          <w:bdr w:val="none" w:color="auto" w:sz="0" w:space="0"/>
        </w:rPr>
        <w:t>七、政府性基金预算财政拨款收入支出决算表</w:t>
      </w:r>
    </w:p>
    <w:p w14:paraId="4610F7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20" w:afterAutospacing="0" w:line="368" w:lineRule="atLeast"/>
        <w:ind w:left="0" w:right="0" w:firstLine="555"/>
        <w:jc w:val="both"/>
        <w:textAlignment w:val="center"/>
        <w:rPr>
          <w:rFonts w:hint="default" w:ascii="sans-serif" w:hAnsi="sans-serif" w:eastAsia="sans-serif" w:cs="sans-serif"/>
          <w:i w:val="0"/>
          <w:iCs w:val="0"/>
          <w:caps w:val="0"/>
          <w:color w:val="000000"/>
          <w:spacing w:val="0"/>
          <w:sz w:val="28"/>
          <w:szCs w:val="28"/>
        </w:rPr>
      </w:pPr>
      <w:r>
        <w:rPr>
          <w:rFonts w:hint="eastAsia" w:ascii="仿宋_GB2312" w:hAnsi="sans-serif" w:eastAsia="仿宋_GB2312" w:cs="仿宋_GB2312"/>
          <w:i w:val="0"/>
          <w:iCs w:val="0"/>
          <w:caps w:val="0"/>
          <w:color w:val="000000"/>
          <w:spacing w:val="0"/>
          <w:sz w:val="28"/>
          <w:szCs w:val="28"/>
          <w:bdr w:val="none" w:color="auto" w:sz="0" w:space="0"/>
        </w:rPr>
        <w:t>八、国有资本经营预算财政拨款支出决算表</w:t>
      </w:r>
    </w:p>
    <w:p w14:paraId="225D750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20" w:afterAutospacing="0" w:line="368" w:lineRule="atLeast"/>
        <w:ind w:left="0" w:right="0" w:firstLine="555"/>
        <w:jc w:val="both"/>
        <w:textAlignment w:val="center"/>
        <w:rPr>
          <w:rFonts w:hint="default" w:ascii="sans-serif" w:hAnsi="sans-serif" w:eastAsia="sans-serif" w:cs="sans-serif"/>
          <w:i w:val="0"/>
          <w:iCs w:val="0"/>
          <w:caps w:val="0"/>
          <w:color w:val="000000"/>
          <w:spacing w:val="0"/>
          <w:sz w:val="28"/>
          <w:szCs w:val="28"/>
        </w:rPr>
      </w:pPr>
      <w:r>
        <w:rPr>
          <w:rFonts w:hint="eastAsia" w:ascii="仿宋_GB2312" w:hAnsi="sans-serif" w:eastAsia="仿宋_GB2312" w:cs="仿宋_GB2312"/>
          <w:i w:val="0"/>
          <w:iCs w:val="0"/>
          <w:caps w:val="0"/>
          <w:color w:val="000000"/>
          <w:spacing w:val="0"/>
          <w:sz w:val="28"/>
          <w:szCs w:val="28"/>
          <w:bdr w:val="none" w:color="auto" w:sz="0" w:space="0"/>
        </w:rPr>
        <w:t>九、一般公共预算财政拨款“三公”经费支出决算表</w:t>
      </w:r>
    </w:p>
    <w:p w14:paraId="697CAA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20" w:afterAutospacing="0" w:line="368" w:lineRule="atLeast"/>
        <w:ind w:left="0" w:right="0" w:firstLine="555"/>
        <w:jc w:val="both"/>
        <w:textAlignment w:val="center"/>
        <w:rPr>
          <w:rFonts w:hint="default" w:ascii="sans-serif" w:hAnsi="sans-serif" w:eastAsia="sans-serif" w:cs="sans-serif"/>
          <w:i w:val="0"/>
          <w:iCs w:val="0"/>
          <w:caps w:val="0"/>
          <w:color w:val="000000"/>
          <w:spacing w:val="0"/>
          <w:sz w:val="28"/>
          <w:szCs w:val="28"/>
        </w:rPr>
      </w:pPr>
      <w:r>
        <w:rPr>
          <w:rFonts w:hint="eastAsia" w:ascii="仿宋_GB2312" w:hAnsi="sans-serif" w:eastAsia="仿宋_GB2312" w:cs="仿宋_GB2312"/>
          <w:i w:val="0"/>
          <w:iCs w:val="0"/>
          <w:caps w:val="0"/>
          <w:color w:val="000000"/>
          <w:spacing w:val="0"/>
          <w:sz w:val="28"/>
          <w:szCs w:val="28"/>
          <w:bdr w:val="none" w:color="auto" w:sz="0" w:space="0"/>
        </w:rPr>
        <w:t>（详见附件）。</w:t>
      </w:r>
    </w:p>
    <w:p w14:paraId="4C31399C">
      <w:pPr>
        <w:pStyle w:val="2"/>
        <w:keepNext w:val="0"/>
        <w:keepLines w:val="0"/>
        <w:widowControl/>
        <w:suppressLineNumbers w:val="0"/>
        <w:spacing w:line="555" w:lineRule="atLeast"/>
        <w:ind w:left="0" w:firstLine="0"/>
        <w:jc w:val="center"/>
        <w:rPr>
          <w:rFonts w:hint="default" w:ascii="sans-serif" w:hAnsi="sans-serif" w:eastAsia="sans-serif" w:cs="sans-serif"/>
          <w:i w:val="0"/>
          <w:iCs w:val="0"/>
          <w:caps w:val="0"/>
          <w:color w:val="000000"/>
          <w:spacing w:val="0"/>
          <w:sz w:val="27"/>
          <w:szCs w:val="27"/>
        </w:rPr>
      </w:pPr>
      <w:r>
        <w:rPr>
          <w:rFonts w:hint="eastAsia" w:ascii="方正小标宋_GBK" w:hAnsi="方正小标宋_GBK" w:eastAsia="方正小标宋_GBK" w:cs="方正小标宋_GBK"/>
          <w:i w:val="0"/>
          <w:iCs w:val="0"/>
          <w:caps w:val="0"/>
          <w:color w:val="000000"/>
          <w:spacing w:val="0"/>
          <w:sz w:val="36"/>
          <w:szCs w:val="36"/>
        </w:rPr>
        <w:t>第三部分</w:t>
      </w:r>
    </w:p>
    <w:p w14:paraId="28633308">
      <w:pPr>
        <w:pStyle w:val="2"/>
        <w:keepNext w:val="0"/>
        <w:keepLines w:val="0"/>
        <w:widowControl/>
        <w:suppressLineNumbers w:val="0"/>
        <w:spacing w:line="555" w:lineRule="atLeast"/>
        <w:ind w:left="0" w:firstLine="720"/>
        <w:jc w:val="center"/>
        <w:rPr>
          <w:rFonts w:hint="default" w:ascii="sans-serif" w:hAnsi="sans-serif" w:eastAsia="sans-serif" w:cs="sans-serif"/>
          <w:i w:val="0"/>
          <w:iCs w:val="0"/>
          <w:caps w:val="0"/>
          <w:color w:val="000000"/>
          <w:spacing w:val="0"/>
          <w:sz w:val="27"/>
          <w:szCs w:val="27"/>
        </w:rPr>
      </w:pPr>
      <w:r>
        <w:rPr>
          <w:rFonts w:hint="eastAsia" w:ascii="方正小标宋_GBK" w:hAnsi="方正小标宋_GBK" w:eastAsia="方正小标宋_GBK" w:cs="方正小标宋_GBK"/>
          <w:i w:val="0"/>
          <w:iCs w:val="0"/>
          <w:caps w:val="0"/>
          <w:color w:val="000000"/>
          <w:spacing w:val="0"/>
          <w:sz w:val="36"/>
          <w:szCs w:val="36"/>
        </w:rPr>
        <w:t>2023年度部门决算情况说明</w:t>
      </w:r>
    </w:p>
    <w:p w14:paraId="295F6D54">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8"/>
          <w:szCs w:val="28"/>
        </w:rPr>
      </w:pPr>
      <w:r>
        <w:rPr>
          <w:rFonts w:hint="default" w:ascii="sans-serif" w:hAnsi="sans-serif" w:eastAsia="sans-serif" w:cs="sans-serif"/>
          <w:i w:val="0"/>
          <w:iCs w:val="0"/>
          <w:caps w:val="0"/>
          <w:color w:val="000000"/>
          <w:spacing w:val="0"/>
          <w:sz w:val="28"/>
          <w:szCs w:val="28"/>
        </w:rPr>
        <w:t> </w:t>
      </w:r>
      <w:r>
        <w:rPr>
          <w:rFonts w:hint="eastAsia" w:ascii="黑体" w:hAnsi="宋体" w:eastAsia="黑体" w:cs="黑体"/>
          <w:i w:val="0"/>
          <w:iCs w:val="0"/>
          <w:caps w:val="0"/>
          <w:color w:val="000000"/>
          <w:spacing w:val="0"/>
          <w:sz w:val="28"/>
          <w:szCs w:val="28"/>
        </w:rPr>
        <w:t>一、收入支出决算总体情况</w:t>
      </w:r>
    </w:p>
    <w:p w14:paraId="7DEA3FA0">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 2023年度收、支总计10173.11万元，上年度单位收、支总计11064.68万元，与上年度相比减少了891.57万元，减少比例为8.06%。主要原因是2023年减少了疫情防控费用支出和老粮仓卫生院的消防通道建设的征迁支出以及落道庵的征迁支出。</w:t>
      </w:r>
    </w:p>
    <w:p w14:paraId="34EF5453">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 </w:t>
      </w:r>
      <w:r>
        <w:rPr>
          <w:rFonts w:hint="eastAsia" w:ascii="黑体" w:hAnsi="宋体" w:eastAsia="黑体" w:cs="黑体"/>
          <w:i w:val="0"/>
          <w:iCs w:val="0"/>
          <w:caps w:val="0"/>
          <w:color w:val="000000"/>
          <w:spacing w:val="0"/>
          <w:sz w:val="28"/>
          <w:szCs w:val="28"/>
        </w:rPr>
        <w:t>二、收入决算情况</w:t>
      </w:r>
    </w:p>
    <w:p w14:paraId="717AE04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bdr w:val="none" w:color="auto" w:sz="0" w:space="0"/>
          <w:shd w:val="clear" w:fill="FFFFFF"/>
        </w:rPr>
        <w:t>2023年度收入合计10173.11万元，其中：财政拨款收入6722.55万元，占66.08%；上级补助收入0.00万元，占0.00%；事业收入0.00万元，占0.00%；经营收入0.00万元，占0.00%；附属单位上缴收入0.00万元，占0.00%；其他收入3450.56万元，占33.92%。</w:t>
      </w:r>
    </w:p>
    <w:p w14:paraId="6D14FC20">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 </w:t>
      </w:r>
      <w:r>
        <w:rPr>
          <w:rFonts w:hint="eastAsia" w:ascii="黑体" w:hAnsi="宋体" w:eastAsia="黑体" w:cs="黑体"/>
          <w:i w:val="0"/>
          <w:iCs w:val="0"/>
          <w:caps w:val="0"/>
          <w:color w:val="000000"/>
          <w:spacing w:val="0"/>
          <w:sz w:val="28"/>
          <w:szCs w:val="28"/>
        </w:rPr>
        <w:t>三、支出决算情况</w:t>
      </w:r>
    </w:p>
    <w:p w14:paraId="348104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bdr w:val="none" w:color="auto" w:sz="0" w:space="0"/>
        </w:rPr>
        <w:t>2023年度支出合计10173.11万元，与上年支出合计11064.68万元，减少了891.57万元，减少比例为8.06%。其中：基本支出2388.82万元，占23.48%；项目支出7784.29万元，占76.52%；上缴上级支出0.00万元，占0.00%；经营支出0.00万元；占0.00%；对附属单位补助支出0.00万元，占0.00%。</w:t>
      </w:r>
    </w:p>
    <w:p w14:paraId="2F4A5A25">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 </w:t>
      </w:r>
      <w:r>
        <w:rPr>
          <w:rFonts w:hint="eastAsia" w:ascii="黑体" w:hAnsi="宋体" w:eastAsia="黑体" w:cs="黑体"/>
          <w:i w:val="0"/>
          <w:iCs w:val="0"/>
          <w:caps w:val="0"/>
          <w:color w:val="000000"/>
          <w:spacing w:val="0"/>
          <w:sz w:val="28"/>
          <w:szCs w:val="28"/>
        </w:rPr>
        <w:t>四、财政拨款收入支出决算总体情况</w:t>
      </w:r>
    </w:p>
    <w:p w14:paraId="44133E92">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2023年度财政拨款收、支总计6722.55万元，上年度财政拨款收、支总计6911.24万元，与上年相比减少188.69万元，减少2.73%，主要原因是2023年未安排专项基础设施建设。</w:t>
      </w:r>
    </w:p>
    <w:p w14:paraId="684C2581">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28"/>
          <w:szCs w:val="28"/>
        </w:rPr>
        <w:t> 五、一般公共预算财政拨款支出决算情况</w:t>
      </w:r>
    </w:p>
    <w:p w14:paraId="1C118484">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（一）一般公共预算财政拨款支出决算总体情况</w:t>
      </w:r>
    </w:p>
    <w:p w14:paraId="310228B9">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2023年度一般公共预算财政拨款支出5909.20万元，占本年支出合计的58.09%，与上年6133.25万元相比，一般公共预算财政支出减少224.05万元，减少了3.65%，主要原因是2023年减少了疫情防控费用支出和老粮仓卫生院的消防通道建设的征迁支出以及落道庵的征迁支出。</w:t>
      </w:r>
    </w:p>
    <w:p w14:paraId="7A68AE78">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（二）一般公共预算财政拨款支出决算结构情况</w:t>
      </w:r>
    </w:p>
    <w:p w14:paraId="1B981251">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2023年度一般公共预算财政拨款支出5909.20万元，主要用于以下方面：</w:t>
      </w:r>
    </w:p>
    <w:p w14:paraId="5634B151">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一般公共服务（类）支出1843.13万元，占比31.20%；国防支出0万元，占0%；公共安全支出7.37万元，占0.12%；教育（类）支出36.49万元，占比0.62%；科学技术支出9.00万元，占0.15%；文化旅游体育与传媒支出22.00万元，占0.37%；社会保障和就业支出525.40万元，占8.89%；卫生健康支出172.50万元，占2.92%；节能环保支出0万元，占0%；城乡社区支出14.94万元，占0.25%；农林水支出2510.21万元，占42.48%；交通运输支出643.16万元，占10.89%；商业服务业支出0万元，占0%；住房保障支出85.00万元，占1.44%；粮油物资储备支出30.00万元，占0.51%；国有资本经营预算支出0.00万元，占0.00%，灾害防治及应急管理支出10.00万元，占0.16%；其他支出0.00万元，占0.00%。</w:t>
      </w:r>
    </w:p>
    <w:p w14:paraId="382C72A4">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（三）一般公共预算财政拨款支出决算具体情况</w:t>
      </w:r>
    </w:p>
    <w:p w14:paraId="5154ED1B">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2023年度一般公共预算财政拨款支出年初预算数为2632.79万元，支出决算数为5909.20万元，完成年初预算的224.45%。 其中：</w:t>
      </w:r>
    </w:p>
    <w:p w14:paraId="5C310321">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1、一般公共服务（类）</w:t>
      </w:r>
    </w:p>
    <w:p w14:paraId="5ADCA845">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一般公共服务（类）人大事务项之一般行政管理事务。</w:t>
      </w:r>
    </w:p>
    <w:p w14:paraId="2F4274E9">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2023年度年初预算为16.00万元，支出决算为16.00万元，完成年初预算的100.00%，决算数和年初预算数持平。</w:t>
      </w:r>
    </w:p>
    <w:p w14:paraId="221D279D">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—般公共服务（类）财政事务之行政运行。</w:t>
      </w:r>
    </w:p>
    <w:p w14:paraId="53FD8C81">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年初预算为0.00万元，支出决算为1455.78万元，完成年初预算的*%（由于年初预算数为0，无法计算百分比），决算数大于预算数的主要原因为依据上级要求增加了相关支出。</w:t>
      </w:r>
    </w:p>
    <w:p w14:paraId="33A6D402">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一般公共服务类之一般行政管理事务。</w:t>
      </w:r>
    </w:p>
    <w:p w14:paraId="21B774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bdr w:val="none" w:color="auto" w:sz="0" w:space="0"/>
        </w:rPr>
        <w:t>年初预算数为3032.1万元，决算数为266.40万元，决算数小于预算数2765.70万元，减少比91.21%。决算数小于年初预算数的主要原因是：本年度内调出7人，财政拨款经费进行了调减。</w:t>
      </w:r>
    </w:p>
    <w:p w14:paraId="72553E24">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一般公共服务类财政事务之一般行政管理事务。</w:t>
      </w:r>
    </w:p>
    <w:p w14:paraId="2F6EC1B3">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年初预算为0.00万元，支出为14.00万元，完成年初预算的*%（由于年初预算数为0，无法计算百分比），决算数大于预算数的主要原因为上级增加了专项的统计工作任务。</w:t>
      </w:r>
    </w:p>
    <w:p w14:paraId="095EB801">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一般公共服务类纪检监察事务之一般行政管理事务。</w:t>
      </w:r>
    </w:p>
    <w:p w14:paraId="53D291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bdr w:val="none" w:color="auto" w:sz="0" w:space="0"/>
        </w:rPr>
        <w:t>年初预算为0.00万元，支出数为6.00万元，完成年初预算的*%（由于年初预算数为0，无法计算百分比），决算数大于预算数的主要原因为专项资金未纳入年初预算，增加了纪检监察财政支出。</w:t>
      </w:r>
    </w:p>
    <w:p w14:paraId="7A722B2D">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一般公共服务类组织事务之一般行政管理事务。</w:t>
      </w:r>
    </w:p>
    <w:p w14:paraId="2F924456">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年初预算为0.00万元，支出数为67.17万元，完成年初预算的*%（由于年初预算数为0，无法计算百分比），决算数大于预算数的主要原因为依据上级要求增加了相关工作，支出增加。</w:t>
      </w:r>
    </w:p>
    <w:p w14:paraId="11148A37">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一般公共服务类其他共产党事务支出之一般行政管理事务。</w:t>
      </w:r>
    </w:p>
    <w:p w14:paraId="7B1C8458">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年初预算为0.00万元，支出数为13.00万元，完成年初预算的*%（由于年初预算数为0，无法计算百分比），决算数大于预算数的主要原因为依据上级要求增加了相关工作，支出增加。</w:t>
      </w:r>
    </w:p>
    <w:p w14:paraId="5AF6D28F">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一般公共服务类市场监督管理事务之食品安全监管。</w:t>
      </w:r>
    </w:p>
    <w:p w14:paraId="544AEB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bdr w:val="none" w:color="auto" w:sz="0" w:space="0"/>
        </w:rPr>
        <w:t>年初预算为0.00万元，支出数为4.78万元，完成年初预算的*%（由于年初预算数为0，无法计算百分比），决算数大于年初预算数的主要原因为专项资金未纳入年初预算，增加了食品安全监管财政支出。</w:t>
      </w:r>
    </w:p>
    <w:p w14:paraId="5742FDA0">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2、公共安全支出类</w:t>
      </w:r>
    </w:p>
    <w:p w14:paraId="77A4C658">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公共安全支出之公安之一般行政管理事务</w:t>
      </w:r>
    </w:p>
    <w:p w14:paraId="2267EE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bdr w:val="none" w:color="auto" w:sz="0" w:space="0"/>
        </w:rPr>
        <w:t>年初预算为0.00万元，支出决算为3.36万元，完成年初预算的*%（由于年初预算数为0，无法计算百分比），决算数大于预算数的主要原因为专项资金未纳入年初预算，增加了公共安全财政支出。</w:t>
      </w:r>
    </w:p>
    <w:p w14:paraId="48B32C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bdr w:val="none" w:color="auto" w:sz="0" w:space="0"/>
        </w:rPr>
        <w:t>公共安全支出之司法款之行政运行年初预算为0.00万元，支出决算数为4.01万元，完成年初预算的*%（由于年初预算数为0，无法计算百分比），决算数大于预算数的主要原因为专项资金未纳入年初预算，增加了司法财政支出。</w:t>
      </w:r>
    </w:p>
    <w:p w14:paraId="1E470E72">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3、教育支出</w:t>
      </w:r>
    </w:p>
    <w:p w14:paraId="57DA9605">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教育支出类普通教育款之学前教育年初预算为0.00万元，支出决算为31.49万元，完成年初预算的*%（由于年初预算数为0，无法计算百分比），决算数大于预算数的主要原因为依据上级要求增加了相关工作支出。</w:t>
      </w:r>
    </w:p>
    <w:p w14:paraId="4D9DE1EA">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教育支出类普通教育款之其他普通教育年初预算为300.00万元，决算支出为5.00万元，决算数小于预算数295.00万元，减少比98.33%。</w:t>
      </w:r>
    </w:p>
    <w:p w14:paraId="14515A94">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4、科学技术支出</w:t>
      </w:r>
    </w:p>
    <w:p w14:paraId="6664536E">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科学技术类之科普活动年初预算为0.00万元，支出决算数为9.00万元，完成年初预算的*%（由于年初预算数为0，无法计算百分比），决算数大于预算数的主要原因为依据上级要求增加了相关工作支出。</w:t>
      </w:r>
    </w:p>
    <w:p w14:paraId="4A9D6C2A">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5、文化旅游体育与传媒类</w:t>
      </w:r>
    </w:p>
    <w:p w14:paraId="48566B23">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文化与旅游款之其他文化和旅游年初预算为0.00万元，支出决算为4.00万元，完成年初预算的*%（由于年初预算数为0，无法计算百分比），决算数大于预算数的主要原因为专项资金未纳入年初预算，增加了财政支出。</w:t>
      </w:r>
    </w:p>
    <w:p w14:paraId="2E4EF893">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文化与旅游款之其他文化旅游体育与传媒支出年初预算为0.00万元，支出决算为18.00万元，完成年初预算的*%（由于年初预算数为0，无法计算百分比），决算数大于预算数的主要原因为专项资金未纳入年初预算，增加了财政支出。</w:t>
      </w:r>
    </w:p>
    <w:p w14:paraId="68CE7A84">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6、社会保障和就业支出类</w:t>
      </w:r>
    </w:p>
    <w:p w14:paraId="1C39807A">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人力资源和社会保障管理事务类之一般行政管理事务年初预算数为900.00万元，支出决算为1.50万元。决算数小于预算数898.50万元，减少比99.83%。。</w:t>
      </w:r>
    </w:p>
    <w:p w14:paraId="20F1DB20">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人力资源和社会保障管理事务类之其他民政管理事务支出年初预算数为0.00万元，支出决算为13.00万元。完成年初预算的*%（由于年初预算数为0，无法计算百分比），决算数大于预算数的主要原因专项资金未纳入年初预算，增加了财政支出。</w:t>
      </w:r>
    </w:p>
    <w:p w14:paraId="34A1641D">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人力资源和社会保障管理事务类之机关事业单位养老保险缴费支出年初预算数为199.88万元，支出决算为135.23万元，决算数小于预算数64.65万元，减少比32.34%。</w:t>
      </w:r>
    </w:p>
    <w:p w14:paraId="54CDFC9B">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人力资源和社会保障管理事务类之机关事业单位职业年金缴费支出年初预算数为14.6万元，支出决算为4.79万元，决算数小于预算数9.82万元，减少比67.26%。</w:t>
      </w:r>
    </w:p>
    <w:p w14:paraId="4F4DC6E9">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人力资源和社会保障管理事务类之其他行政事业单位养老支出年初预算数为0.00万元，支出决算为5.92万元，完成年初预算的*%（由于年初预算数为0，无法计算百分比），决算数大于预算数的主要原因为专项资金未纳入年初预算，增加了财政支出。</w:t>
      </w:r>
    </w:p>
    <w:p w14:paraId="6641EC11">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人力资源和社会保障管理事务类之死亡抚恤年初算数为0.00万元，决算支出为45.8万元，完成年初预算的*%（由于年初预算数为0，无法计算百分比），决算数大于预算数的主要原因专项资金未纳入年初预算，增加了财政支出。</w:t>
      </w:r>
    </w:p>
    <w:p w14:paraId="45F4E5E1">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人力资源和社会保障管理事务类之退役士兵安置支出年初预算为0.00万元，决算支出为11.18万元，完成年初预算的*%（由于年初预算数为0，无法计算百分比），决算数大于预算数的主要原因专项资金未纳入年初预算，增加了财政支出。</w:t>
      </w:r>
    </w:p>
    <w:p w14:paraId="37761214">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人力资源和社会保障管理事务类之殡葬支出年初预算为150.00万元，决算支出为50.00万元，决算数小于预算数100.00万元，减少比66.67%。</w:t>
      </w:r>
    </w:p>
    <w:p w14:paraId="1D476971">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人力资源和社会保障管理事务类之养老服务支出年初预算为0.00万元，决算支出为10.00万元，完成年初预算的*%（由于年初预算数为0，无法计算百分比），决算数大于预算数的主要原因为专项资金未纳入年初预算，增加了财政支出。</w:t>
      </w:r>
    </w:p>
    <w:p w14:paraId="06D6C74D">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人力资源和社会保障管理事务类之其他社会福利支出年初预算为13.12万元，决算支出为34.06万元，决算数小于预算数20.94万元，减少比61.47%</w:t>
      </w:r>
    </w:p>
    <w:p w14:paraId="5ADEA7DF">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人力资源和社会保障管理事务类之临时救助支出年初预算为0.00万元，决算支出为4.00万元，完成年初预算的*%（由于年初预算数为0，无法计算百分比），决算数大于预算数的主要原因为专项资金未纳入年初预算，增加了财政支出。</w:t>
      </w:r>
    </w:p>
    <w:p w14:paraId="44F1E203">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人力资源和社会保障管理事务类之农村特困人员救助供养支出年初预算为0.00万元，决算支出为178.45万元，完成年初预算的*%（由于年初预算数为0，无法计算百分比），决算数大于预算数的主要原因专项资金未纳入年初预算，增加了财政支出。人力资源和社会保障管理事务类之移民补助支出年初预算为0.00万元，决算支出为65.06万元，完成年初预算的*%（由于年初预算数为0，无法计算百分比），决算数大于预算数的主要原因专项资金未纳入年初预算，增加了财政支出。</w:t>
      </w:r>
    </w:p>
    <w:p w14:paraId="4D66FB60">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人力资源和社会保障管理事务类之基础设施建设和经济发展支出年初预算为0.00万元，决算支出为20.00万元，完成年初预算的*%（由于年初预算数为0，无法计算百分比），决算数大于预算数的主要原因专项资金未纳入年初预算，增加了财政支出。</w:t>
      </w:r>
    </w:p>
    <w:p w14:paraId="403B496B">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人力资源和社会保障管理事务类之拥军优属支出年初预算为0.00万元，决算支出为8.18万元，完成年初预算的*%（由于年初预算数为0，无法计算百分比），决算数大于预算数的主要原因专项资金未纳入年初预算，增加了财政支出。</w:t>
      </w:r>
    </w:p>
    <w:p w14:paraId="72C2909B">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人力资源和社会保障管理事务类之其他退役军人事务管理支出年初预算为8.64万元，决算支出为13.75万元，决算数大于预算数5.11万元，增加比59.14%，决算数大于预算数的主要原因专项资金未纳入年初预算，增加了财政支出。</w:t>
      </w:r>
    </w:p>
    <w:p w14:paraId="5F2CF3A2">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人力资源和社会保障管理事务类之其他社会保障和就业支出年初预算为0.86万元，决算支出为6.83万元，决算数大于预算数5.97万元，决算数大于预算数的主要原因专项资金未纳入年初预算，增加了财政支出。</w:t>
      </w:r>
    </w:p>
    <w:p w14:paraId="73F4CEAF">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7、卫生健康支出类</w:t>
      </w:r>
    </w:p>
    <w:p w14:paraId="3F9FB970">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卫生健康管理事务款之卫生健康管理事务年初预算数为59.25万元，支出决算数为7.72万元，决算数比预算数减少51.53万元，减少比86.97%。</w:t>
      </w:r>
    </w:p>
    <w:p w14:paraId="345ACFB6">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卫生健康管理事务款之基层医疗卫生机构支出年初预算数为0.00万元，支出决算数为4.00万元，完成年初预算的*%（由于年初预算数为0，无法计算百分比），决算数大于预算数的主要原因专项资金未纳入年初预算，增加了财政支出。</w:t>
      </w:r>
    </w:p>
    <w:p w14:paraId="35312E3A">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公共卫生款之突发公共卫生事件应急处理支出年初预算为0.00万元，支出决算数为23.50万元，完成年初预算的*%（由于年初预算数为0，无法计算百分比），决算数大于预算数的主要原因专项资金未纳入年初预算，增加了财政支出。</w:t>
      </w:r>
    </w:p>
    <w:p w14:paraId="017944B3">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公共卫生款之其他公共卫生支出项年初预算为50万元，支出决算数为80.41万元，支出决算数大于年初预算数主要专项资金未纳入年初预算，增加了财政支出。</w:t>
      </w:r>
    </w:p>
    <w:p w14:paraId="4D785501">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公共卫生款之计划生育事务项年初预算为0万元，支出决算数为3.09万元，完成年初预算的*%（由于年初预算数为0，无法计算百分比），决算数大于预算数的主要原因专项资金未纳入年初预算，增加了财政支出。</w:t>
      </w:r>
    </w:p>
    <w:p w14:paraId="48E2040F">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公共卫生款之行政事业单位医疗项年初预算为0万元，支出决算数为53.78万元，完成年初预算的*%（由于年初预算数为0，无法计算百分比），决算数大于预算数的主要原因专项资金未纳入年初预算，增加了财政支出。</w:t>
      </w:r>
    </w:p>
    <w:p w14:paraId="51704419">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8、节能环保类</w:t>
      </w:r>
    </w:p>
    <w:p w14:paraId="25CE3896">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自然生态保护款之农村环境保护年初预算为200.00万元，决算支出数为0.00万元，完成预算的0.00%。</w:t>
      </w:r>
    </w:p>
    <w:p w14:paraId="7E098D07">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9、城乡社区支出类</w:t>
      </w:r>
    </w:p>
    <w:p w14:paraId="36D4B31C">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城乡社区管理事务之其他城乡社区管理事务支出年初预算为900.00万元，支出决算数为3.00万元，支出决算数小于年初预算数897.00万元，减少比99.67%。</w:t>
      </w:r>
    </w:p>
    <w:p w14:paraId="4CDEA4A5">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城乡社区管理事务之小城镇基础设施建设年初预算为0.00万元，支出决算数为6.00万元，完成年初预算的*%（由于年初预算数为0，无法计算百分比），决算数大于预算数的主要原因专项资金未纳入年初预算，增加了财政支出。。</w:t>
      </w:r>
    </w:p>
    <w:p w14:paraId="630B3E22">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城乡社区管理事务之其他城乡社区支出年初预算为0.00万元，支出决算数为5.94万元，完成年初预算的*%（由于年初预算数为0，无法计算百分比），决算数大于预算数的主要原因专项资金未纳入年初预算，增加了财政支出。</w:t>
      </w:r>
    </w:p>
    <w:p w14:paraId="762B2AB6">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10、农林水支出类</w:t>
      </w:r>
    </w:p>
    <w:p w14:paraId="2EA3902F">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农林水支出类之农业农村一般行政管理事务年初预算为0.00万元，支出决算数为2.00万元，完成年初预算的*%（由于年初预算数为0，无法计算百分比），决算数大于预算数的主要原因专项资金未纳入年初预算，增加了财政支出。</w:t>
      </w:r>
    </w:p>
    <w:p w14:paraId="23F1B8F2">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农林水支出类之事业运行年初预算为0.00万元，支出决算数为553.00万元，完成年初预算的*%（由于年初预算数为0，无法计算百分比），决算数大于预算数的主要原因专项资金未纳入年初预算，增加了财政支出。</w:t>
      </w:r>
    </w:p>
    <w:p w14:paraId="1DF1F58F">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农林水支出类之科技转化与推广服务支出年初预算为0.00万元，支出决算数为5.00万元，完成年初预算的*%（由于年初预算数为0，无法计算百分比），决算数大于预算数的主要原因专项资金未纳入年初预算，增加了财政支出。</w:t>
      </w:r>
    </w:p>
    <w:p w14:paraId="686A3414">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农林水支出类之病虫害控制支出年初预算为0.00万元，支出决算数为3.00万元，完成年初预算的*%（由于年初预算数为0，无法计算百分比），决算数大于预算数的主要原因专项资金未纳入年初预算，增加了财政支出。</w:t>
      </w:r>
    </w:p>
    <w:p w14:paraId="0A8C88FD">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农林水支出类之统计监测与信息服务支出年初预算为0.00万元，支出决算数为6.00万元，完成年初预算的*%（由于年初预算数为0，无法计算百分比），决算数大于预算数的主要原因为依据上级要求增加了相关工作支出。</w:t>
      </w:r>
    </w:p>
    <w:p w14:paraId="36890DC1">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农林水支出类之农业结构调整补贴支出年初预算为0.00万元，支出决算数为169.86万元，完成年初预算的*%（由于年初预算数为0，无法计算百分比），决算数大于预算数的主要原因专项资金未纳入年初预算，增加了财政支出。</w:t>
      </w:r>
    </w:p>
    <w:p w14:paraId="3AFAA746">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农林水支出类之农业生产发展支出年初预算为0.00万元，支出决算数为4.50万元，完成年初预算的*%（由于年初预算数为0，无法计算百分比），决算数大于预算数的主要原因专项资金未纳入年初预算，增加了财政支出。</w:t>
      </w:r>
    </w:p>
    <w:p w14:paraId="6CF055EC">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农林水支出类之农村社会事业支出年初预算为400.00万元，支出决算数为279.22万元，支出决算比年初预算减少120.78万元，减少比30.19%。</w:t>
      </w:r>
    </w:p>
    <w:p w14:paraId="47FAB3F7">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农林水支出类之农田建设支出年初预算为0万元，支出决算数为67.74万元，完成年初预算的*%（由于年初预算数为0，无法计算百分比），决算数大于预算数的主要原因专项资金未纳入年初预算，增加了财政支出。</w:t>
      </w:r>
    </w:p>
    <w:p w14:paraId="3A552B5C">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农林水支出类之其他农业农村支出年初预算为1300.00万元，支出决算数为42.00万元，支出决算比年初预算减少1258.00万元，减少比96.77%。</w:t>
      </w:r>
    </w:p>
    <w:p w14:paraId="1620F990">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农林水支出类之森林生态效益补偿支出年初预算为0.00万元，支出决算数为1.63万元，完成年初预算的*%（由于年初预算数为0，无法计算百分比），决算数大于预算数的主要原因专项资金未纳入年初预算，增加了财政支出。</w:t>
      </w:r>
    </w:p>
    <w:p w14:paraId="660B9E27">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农林水支出类之林业草原防灾减灾年初预算为0.00万元，支出决算数为24.80万元，完成年初预算的*%（由于年初预算数为0，无法计算百分比），决算数大于预算数的主要原因专项资金未纳入年初预算，增加了财政支出。</w:t>
      </w:r>
    </w:p>
    <w:p w14:paraId="05828407">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农林水支出类之水利款之水利工程建设年初预算数为0.00万元，支出决算数为88.00万元，完成年初预算的*%（由于年初预算数为0，无法计算百分比），决算数大于预算数的主要原因专项资金未纳入年初预算，增加了财政支出。</w:t>
      </w:r>
    </w:p>
    <w:p w14:paraId="44D30B45">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农林水支出类之水利工程运行与维护年初预算为0.00万元，决算支出为20.00万元，完成年初预算的*%（由于年初预算数为0，无法计算百分比），决算数大于预算数的主要原因为依据上级要求增加了相关工作支出。</w:t>
      </w:r>
    </w:p>
    <w:p w14:paraId="60776ABB">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农林水支出类之水资源节约管理与保护支出年初预算为0.00万元，决算支出为3.00万元，完成年初预算的*%（由于年初预算数为0，无法计算百分比），决算数大于预算数的主要原因专项资金未纳入年初预算，增加了财政支出。</w:t>
      </w:r>
    </w:p>
    <w:p w14:paraId="3184B764">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农林水支出类之农村水利支出年初预算为0.00万元，决算支出为25.00万元，完成年初预算的*%（由于年初预算数为0，无法计算百分比），决算数大于预算数的主要原因为依据上级要求增加了相关工作支出。</w:t>
      </w:r>
    </w:p>
    <w:p w14:paraId="63FAD0EF">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农林水支出类之大中型水库移民后期扶持专项支出年初预算为0.00万元，决算支出为42.00万元，完成年初预算的*%（由于年初预算数为0，无法计算百分比），决算数大于预算数的主要原因专项资金未纳入年初预算，增加了财政支出。农林水支出类之农村基础设施建设支出年初预算为0.00万元，决算支出为15.10万元，完成年初预算的*%（由于年初预算数为0，无法计算百分比），决算数大于预算数的主要原因专项资金未纳入年初预算，增加了财政支出。</w:t>
      </w:r>
    </w:p>
    <w:p w14:paraId="7724E279">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农林水支出类之其他巩固</w:t>
      </w:r>
      <w:r>
        <w:rPr>
          <w:rFonts w:hint="eastAsia" w:ascii="仿宋_GB2312" w:hAnsi="sans-serif" w:eastAsia="仿宋_GB2312" w:cs="仿宋_GB2312"/>
          <w:i w:val="0"/>
          <w:iCs w:val="0"/>
          <w:caps w:val="0"/>
          <w:color w:val="000000"/>
          <w:spacing w:val="0"/>
          <w:sz w:val="28"/>
          <w:szCs w:val="28"/>
          <w:lang w:val="en-US" w:eastAsia="zh-CN"/>
        </w:rPr>
        <w:t>拓展</w:t>
      </w:r>
      <w:r>
        <w:rPr>
          <w:rFonts w:hint="eastAsia" w:ascii="仿宋_GB2312" w:hAnsi="sans-serif" w:eastAsia="仿宋_GB2312" w:cs="仿宋_GB2312"/>
          <w:i w:val="0"/>
          <w:iCs w:val="0"/>
          <w:caps w:val="0"/>
          <w:color w:val="000000"/>
          <w:spacing w:val="0"/>
          <w:sz w:val="28"/>
          <w:szCs w:val="28"/>
        </w:rPr>
        <w:t>脱贫攻坚成果衔接乡村振兴资金年初预算支出0.00万元。决算支出为446.84万元，完成年初预算的*%（由于年初预算数为0，无法计算百分比），决算数大于预算数的主要原因专项资金未纳入年初预算，增加了财政支出。</w:t>
      </w:r>
    </w:p>
    <w:p w14:paraId="08D5529F">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农林水支出类之村级公益事业建设的补助支出年初预算为0.00万元，决算支出为280.85万元。完成年初预算的*%（由于年初预算数为0，无法计算百分比），决算数大于预算数的主要原因专项资金未纳入年初预算，增加了财政支出。</w:t>
      </w:r>
    </w:p>
    <w:p w14:paraId="7269311B">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农林水支出类之对村民委员会和村党支部支出年初预算为465.00万元，决算支出为410.67万元。支出决算比年初预算减少54.33万元，减少比13.23%。</w:t>
      </w:r>
    </w:p>
    <w:p w14:paraId="1E502536">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农林水支出类之其他农林水支出年初预算为0.00万元，决算支出为20.00万元。完成年初预算的*%（由于年初预算数为0，无法计算百分比），决算数大于预算数的主要原因专项资金未纳入年初预算，增加了财政支出。</w:t>
      </w:r>
    </w:p>
    <w:p w14:paraId="1B5D4BA0">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11、交通运输支出</w:t>
      </w:r>
    </w:p>
    <w:p w14:paraId="3BC13BBB">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交通运输支出类公路水路运输之公路建设年初预算为600.00万元，支出决算为25.00万元，支出决算小于年初预算数575.00万元，减少比95.83%，主要为预算调整及根据单位相关政策减少了相关支出。</w:t>
      </w:r>
    </w:p>
    <w:p w14:paraId="4849B41B">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交通运输支出类公路水路运输之公路养护年初预算为0万元，支出决算为154.50万元，完成年初预算的*%（由于年初预算数为0，无法计算百分比），决算数大于预算数的主要原因为依据上级要求增加了相关工作支出。</w:t>
      </w:r>
    </w:p>
    <w:p w14:paraId="57A3B0B6">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交通运输支出类公路水路运输之其他公路水路运输支出年初预算为0万元，支出决算为274.07万元，完成年初预算的*%（由于年初预算数为0，无法计算百分比），决算数大于预算数的主要原因为依据上级要求增加了相关工作支出。</w:t>
      </w:r>
    </w:p>
    <w:p w14:paraId="0DAAA039">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交通运输支出类车辆购置税用于农村公路建设支出年初预算为0万元，支出决算为180.75万元，完成年初预算的*%（由于年初预算数为0，无法计算百分比），决算数大于预算数的主要原因为依据上级要求增加了相关工作支出。</w:t>
      </w:r>
    </w:p>
    <w:p w14:paraId="31B79EFB">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交通运输支出类车辆购置税其他支出年初预算为0万元，支出决算为8.84万元，完成年初预算的*%（由于年初预算数为0，无法计算百分比），决算数大于预算数的主要原因为依据上级要求增加了相关工作支出。</w:t>
      </w:r>
    </w:p>
    <w:p w14:paraId="3F89D138">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12、自然资源海洋气象等支出类</w:t>
      </w:r>
    </w:p>
    <w:p w14:paraId="48B95BE2">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自然资源海洋气象等支出类支出自然资源利用与保护年初预算为300万元，支出决算为0万元，支出决算小于年初预算主要为预算调整及根据单位相关政策减少了相关支出。</w:t>
      </w:r>
    </w:p>
    <w:p w14:paraId="109BA914">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13、住房保障支出类</w:t>
      </w:r>
    </w:p>
    <w:p w14:paraId="1CF2971C">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住房保障支出类之住房公积金年初预算为87.29万元，支出决算数为85.00万元，支出决算小于年初预算数2.29万元，减少比2.62%，支出决算小于年初预算数主要为预算调整及根据单位相关政策减少了相关支出。</w:t>
      </w:r>
    </w:p>
    <w:p w14:paraId="4FF05285">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14、粮油物资储备支出类</w:t>
      </w:r>
    </w:p>
    <w:p w14:paraId="58951974">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粮油物资储备支出类之其他粮油物资事务支出年初预算为0.00万元，决算支出为30.00万元，完成年初预算的*%（由于年初预算数为0，无法计算百分比），决算数大于预算数的主要原因为依据上级要求增加了相关工作支出。</w:t>
      </w:r>
    </w:p>
    <w:p w14:paraId="477660E2">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15、灾害防治及应急管理支出类</w:t>
      </w:r>
    </w:p>
    <w:p w14:paraId="6D94C739">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灾害防治及应急管理支出类其他应急管理支出年初预算为0.00，支出决算为10.00万元，完成年初预算的*%（由于年初预算数为0，无法计算百分比），决算数大于预算数的主要原因为依据上级要求增加了相关工作支出。</w:t>
      </w:r>
    </w:p>
    <w:p w14:paraId="1797E68B">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 六、一般公共预算财政拨款基本支出决算情况</w:t>
      </w:r>
    </w:p>
    <w:p w14:paraId="7B9A0516">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2023年度一般公共预算财政拨款基本支出2326.60万元，其中：</w:t>
      </w:r>
    </w:p>
    <w:p w14:paraId="294B3012">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人员经费2177.05万元，占基本支出的93.57%，主要包括基本工资、津贴补贴、奖金、绩效工资、基本养老保险费、职业年金、医疗保险费、住房公积金、对个人和家庭的补助、退休费、抚恤金、退休人员生活补助等。</w:t>
      </w:r>
    </w:p>
    <w:p w14:paraId="6CDD3D32">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  </w:t>
      </w:r>
      <w:r>
        <w:rPr>
          <w:rFonts w:hint="eastAsia" w:ascii="仿宋_GB2312" w:hAnsi="sans-serif" w:eastAsia="仿宋_GB2312" w:cs="仿宋_GB2312"/>
          <w:i w:val="0"/>
          <w:iCs w:val="0"/>
          <w:caps w:val="0"/>
          <w:color w:val="000000"/>
          <w:spacing w:val="0"/>
          <w:sz w:val="28"/>
          <w:szCs w:val="28"/>
        </w:rPr>
        <w:t>公用经费149.55万元，占基本支出的6.43%，主要包括办公费、印刷费、水电费、物业管理费、差旅费、维修（护）费、会议费、培训费、公务接待费、专用材料费、工会经费、其他交通费用、办公设备购置等。</w:t>
      </w:r>
    </w:p>
    <w:p w14:paraId="07847759">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财政拨款三公经费支出决算情况说明</w:t>
      </w:r>
    </w:p>
    <w:p w14:paraId="29454FA7">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“三公”经费财政拨款支出决算总体情况说明</w:t>
      </w:r>
    </w:p>
    <w:p w14:paraId="64BF8506">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 “三公”经费财政拨款支出预算为46.40万元，支出决算为9.73万元，完成预算的20.97%，决算数小于预算数的主要原因是严控财务管理制度，厉行节约，与上年相比减少5.23万元，减少34.96%,减少的主要原因是严控财务制度，厉行节约。其中：</w:t>
      </w:r>
    </w:p>
    <w:p w14:paraId="75B46B1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bdr w:val="none" w:color="auto" w:sz="0" w:space="0"/>
          <w:shd w:val="clear" w:fill="FFFFFF"/>
        </w:rPr>
        <w:t>1、因公出国（境）费支出年初预算为0.00万元，支出决算为0.00万元，完成预算的*%（由于预算数为0，无法计算百分比），与上年相比持平。决算数等于预算数的主要原因是2023年没有因公出国（境）费支出。</w:t>
      </w:r>
    </w:p>
    <w:p w14:paraId="5FFD0F11">
      <w:pPr>
        <w:pStyle w:val="2"/>
        <w:keepNext w:val="0"/>
        <w:keepLines w:val="0"/>
        <w:widowControl/>
        <w:suppressLineNumbers w:val="0"/>
        <w:shd w:val="clear" w:fill="FFFFFF"/>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shd w:val="clear" w:fill="FFFFFF"/>
        </w:rPr>
        <w:t>2、公务接待费支出年初预算为38.40万元，支出决算为4.46万元，完成预算的11.61%，决算数小于预算数的主要原因是依据财务管理制度要求厉行节约，与上年支出决算数9.43万元，相比减少4.97万元，减少比52.70%,减少的主要原因是按照财务制度，严控公务接待费用支出，厉行节约。</w:t>
      </w:r>
    </w:p>
    <w:p w14:paraId="774069F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bdr w:val="none" w:color="auto" w:sz="0" w:space="0"/>
          <w:shd w:val="clear" w:fill="FFFFFF"/>
        </w:rPr>
        <w:t>3、公务用车购置费支出预算为0.00万元，支出决算为0.00万元，完成预算的*%（由于预算数为0，无法计算百分比），决算数等于预算数的主要原因是2023年没有公务用车购置费支出，与上年支出决算相比持平。</w:t>
      </w:r>
    </w:p>
    <w:p w14:paraId="47FF4C70">
      <w:pPr>
        <w:pStyle w:val="2"/>
        <w:keepNext w:val="0"/>
        <w:keepLines w:val="0"/>
        <w:widowControl/>
        <w:suppressLineNumbers w:val="0"/>
        <w:shd w:val="clear" w:fill="FFFFFF"/>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shd w:val="clear" w:fill="FFFFFF"/>
        </w:rPr>
        <w:t>4、公务用车运行维护费支出年初预算为8.00万元，支出决算为5.27万元，完成预算的65.87%，决算数小于预算数的主要原因是加强车辆管理和维护，厉行节约，与上年实际支出数5.53万元，相比减少了0.26万元，减少比4.7%,减少的主要原因是按照财务制度，厉行节约。</w:t>
      </w:r>
    </w:p>
    <w:p w14:paraId="31D8D631">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（二）“三公”经费财政拨款支出决算具体情况说明</w:t>
      </w:r>
    </w:p>
    <w:p w14:paraId="6CD47C2F">
      <w:pPr>
        <w:pStyle w:val="2"/>
        <w:keepNext w:val="0"/>
        <w:keepLines w:val="0"/>
        <w:widowControl/>
        <w:suppressLineNumbers w:val="0"/>
        <w:shd w:val="clear" w:fill="FFFFFF"/>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shd w:val="clear" w:fill="FFFFFF"/>
        </w:rPr>
        <w:t> 2023年度“三公”经费财政拨款支出决算中，公务接待费支出决算4.46万元，占比45.84%,因公出国（境）费支出决算0.00万元，占0.00%,公务用车购置费及运行维护费支出决算5.27万元，占54.16%。其中：</w:t>
      </w:r>
    </w:p>
    <w:p w14:paraId="3AE41237">
      <w:pPr>
        <w:pStyle w:val="2"/>
        <w:keepNext w:val="0"/>
        <w:keepLines w:val="0"/>
        <w:widowControl/>
        <w:suppressLineNumbers w:val="0"/>
        <w:shd w:val="clear" w:fill="FFFFFF"/>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shd w:val="clear" w:fill="FFFFFF"/>
        </w:rPr>
        <w:t>  1、因公出国（境）费支出决算为0.00万元，全年安排因公出国（境）团组0个，累计0人次，无开支。</w:t>
      </w:r>
    </w:p>
    <w:p w14:paraId="1A818DA4">
      <w:pPr>
        <w:pStyle w:val="2"/>
        <w:keepNext w:val="0"/>
        <w:keepLines w:val="0"/>
        <w:widowControl/>
        <w:suppressLineNumbers w:val="0"/>
        <w:shd w:val="clear" w:fill="FFFFFF"/>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shd w:val="clear" w:fill="FFFFFF"/>
        </w:rPr>
        <w:t>  2、公务接待费支出决算为4.46万元，全年共接待来访团组245个、来宾2345人次，主要是市级领导来镇指导工作调研、会务接洽等接待支出。</w:t>
      </w:r>
    </w:p>
    <w:p w14:paraId="52A35BE2">
      <w:pPr>
        <w:pStyle w:val="2"/>
        <w:keepNext w:val="0"/>
        <w:keepLines w:val="0"/>
        <w:widowControl/>
        <w:suppressLineNumbers w:val="0"/>
        <w:shd w:val="clear" w:fill="FFFFFF"/>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shd w:val="clear" w:fill="FFFFFF"/>
        </w:rPr>
        <w:t>  3、公务用车购置费及运行维护费支出决算为5.27万元，其中：公务用车购置费0.00万元，公务用车运行维护费5.27万元，主要是公务用车加油、维修、保养支出，截止2023年12月31日，本单位开支财政拨款的公务用车保有量为2辆，其中领导用车0辆，城管应急车0辆，其他用车2辆。</w:t>
      </w:r>
    </w:p>
    <w:p w14:paraId="3DE7B9B3">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28"/>
          <w:szCs w:val="28"/>
        </w:rPr>
        <w:t>八、政府性基金预算收入支出决算情况</w:t>
      </w:r>
    </w:p>
    <w:p w14:paraId="3D5900A4">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 2023年度政府性基金预算财政拨款收入813.35万元；年初结转和结余0.00万元；支出813.35万元，其中基本支出0.00万元，项目支出813.35万元；年末结转和结余0.00万元。具体情况如下：</w:t>
      </w:r>
    </w:p>
    <w:p w14:paraId="01D2475B">
      <w:pPr>
        <w:pStyle w:val="2"/>
        <w:keepNext w:val="0"/>
        <w:keepLines w:val="0"/>
        <w:widowControl/>
        <w:suppressLineNumbers w:val="0"/>
        <w:shd w:val="clear" w:fill="FFFFFF"/>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b/>
          <w:bCs/>
          <w:i w:val="0"/>
          <w:iCs w:val="0"/>
          <w:caps w:val="0"/>
          <w:color w:val="000000"/>
          <w:spacing w:val="0"/>
          <w:sz w:val="28"/>
          <w:szCs w:val="28"/>
          <w:shd w:val="clear" w:fill="FFFFFF"/>
        </w:rPr>
        <w:t>1、</w:t>
      </w:r>
      <w:r>
        <w:rPr>
          <w:rStyle w:val="5"/>
          <w:rFonts w:hint="eastAsia" w:ascii="仿宋_GB2312" w:hAnsi="sans-serif" w:eastAsia="仿宋_GB2312" w:cs="仿宋_GB2312"/>
          <w:i w:val="0"/>
          <w:iCs w:val="0"/>
          <w:caps w:val="0"/>
          <w:color w:val="000000"/>
          <w:spacing w:val="0"/>
          <w:sz w:val="28"/>
          <w:szCs w:val="28"/>
          <w:shd w:val="clear" w:fill="FFFFFF"/>
        </w:rPr>
        <w:t>社会保障和就业支出   </w:t>
      </w:r>
      <w:r>
        <w:rPr>
          <w:rFonts w:hint="default" w:ascii="sans-serif" w:hAnsi="sans-serif" w:eastAsia="sans-serif" w:cs="sans-serif"/>
          <w:i w:val="0"/>
          <w:iCs w:val="0"/>
          <w:caps w:val="0"/>
          <w:color w:val="000000"/>
          <w:spacing w:val="0"/>
          <w:sz w:val="27"/>
          <w:szCs w:val="27"/>
          <w:shd w:val="clear" w:fill="FFFFFF"/>
        </w:rPr>
        <w:t>                                                   </w:t>
      </w:r>
    </w:p>
    <w:p w14:paraId="15C5CE7A">
      <w:pPr>
        <w:pStyle w:val="2"/>
        <w:keepNext w:val="0"/>
        <w:keepLines w:val="0"/>
        <w:widowControl/>
        <w:suppressLineNumbers w:val="0"/>
        <w:shd w:val="clear" w:fill="FFFFFF"/>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shd w:val="clear" w:fill="FFFFFF"/>
        </w:rPr>
        <w:t>  社会保障和就业支出之移民补助支出年初预算为0万元，支出决算为65.06万元，完成年初预算的100%，完成年初预算的*%（由于年初预算数为0，无法计算百分比）决算数大于年初预算数的主要原因是主要依据上级要求增加相关工作所致。</w:t>
      </w:r>
    </w:p>
    <w:p w14:paraId="4572C37F">
      <w:pPr>
        <w:pStyle w:val="2"/>
        <w:keepNext w:val="0"/>
        <w:keepLines w:val="0"/>
        <w:widowControl/>
        <w:suppressLineNumbers w:val="0"/>
        <w:shd w:val="clear" w:fill="FFFFFF"/>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shd w:val="clear" w:fill="FFFFFF"/>
        </w:rPr>
        <w:t> 社会保障和就业支出之基础设施建设和经济发展支出年初预算为0万元，支出决算为20.00万元，完成年初预算的100%，决算数大于年初预算数的主要原因是主要依据上级要求增加相关工作所致。</w:t>
      </w:r>
    </w:p>
    <w:p w14:paraId="0F3E6631">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2、城乡社区支出</w:t>
      </w:r>
    </w:p>
    <w:p w14:paraId="130E287A">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城乡社区支出之征地和拆迁补偿支出年初预算为0万元，支出决算为218.39万元，完成年初预算的*%（由于年初预算数为0，无法计算百分比），决算数大于预算数的主要原因为依据上级要求增加了相关工作支出。</w:t>
      </w:r>
    </w:p>
    <w:p w14:paraId="18B1A710">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城乡社区支出之农村基础设施建设支出年初预算为0万元，支出决算为305.00万元，完成年初预算的*%（由于年初预算数为0，无法计算百分比），决算数大于预算数的主要原因为依据上级要求增加了相关工作支出。</w:t>
      </w:r>
    </w:p>
    <w:p w14:paraId="124CDA75">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城乡社区支出之其他城市基础设施配套费安排的支出年初预算为0万元，支出决算为122.30万元，完成年初预算的*%（由于年初预算数为0，无法计算百分比），决算数大于预算数的主要原因为依据上级要求增加了相关工作支出。</w:t>
      </w:r>
    </w:p>
    <w:p w14:paraId="74EEFB9E">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城乡社区支出之污水处理设施建设和运营支出年初预算为0万元，支出决算为15.00万元，完成年初预算的*%（由于年初预算数为0，无法计算百分比），决算数大于预算数的主要原因为依据上级要求增加了相关工作支出。</w:t>
      </w:r>
    </w:p>
    <w:p w14:paraId="3996C18E">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3、其他支出</w:t>
      </w:r>
    </w:p>
    <w:p w14:paraId="0E68B718">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其他支出之用于社会福利的彩票公益金支出年初预算为0万元，支出决算为40.60万元，完成年初预算的*%（由于年初预算数为0，无法计算百分比），决算数大于预算数的主要原因为依据上级要求增加了相关工作支出。</w:t>
      </w:r>
    </w:p>
    <w:p w14:paraId="0E705ABB">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其他支出之用于体育事业的彩票公益金支出年初预算为0万元，支出决算为13.00万元，完成年初预算的*%（由于年初预算数为0，无法计算百分比），决算数大于预算数的主要原因为依据上级要求增加了相关工作支出。</w:t>
      </w:r>
    </w:p>
    <w:p w14:paraId="64D61BA8">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其他支出之用于其他社会公益事业的彩票公益金支出年初预算为0万元，支出决算为14.00万元，完成年初预算的*%（由于年初预算数为0，无法计算百分比），决算数大于预算数的主要原因为依据上级要求增加了相关工作支出。</w:t>
      </w:r>
    </w:p>
    <w:p w14:paraId="714AB66E">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28"/>
          <w:szCs w:val="28"/>
        </w:rPr>
        <w:t>九、国有资本经营预算收入支出决算情况</w:t>
      </w:r>
    </w:p>
    <w:p w14:paraId="78C68C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bdr w:val="none" w:color="auto" w:sz="0" w:space="0"/>
        </w:rPr>
        <w:t>2023年度国有资本经营预算财政拨款收入为0万元，年初结转和结余0万元，支出0万元，其中：支出0万元，项目支出0万元，年末结转和结余0万元。2023年度本单位无国有资本经营预算财政拨款支出。</w:t>
      </w:r>
    </w:p>
    <w:p w14:paraId="65DF4696">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28"/>
          <w:szCs w:val="28"/>
        </w:rPr>
        <w:t>十、关于机关运行经费支出</w:t>
      </w:r>
    </w:p>
    <w:p w14:paraId="6B45BE86">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本部门2023年度机关运行经费支出149.55万元，比上年决算数155.98万元，减少6.43万元，降低了4.12%。主要原因是厉行节约，减少了宣传防疫、食品安全等相关支出，比年初预算324.33万元，减少174.78万元，减少了53.88%，主要原因是严格按照财务制度，厉行节约。</w:t>
      </w:r>
    </w:p>
    <w:p w14:paraId="4BA88D80">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28"/>
          <w:szCs w:val="28"/>
        </w:rPr>
        <w:t>十一、一般性支出情况</w:t>
      </w:r>
    </w:p>
    <w:p w14:paraId="0134D5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bdr w:val="none" w:color="auto" w:sz="0" w:space="0"/>
        </w:rPr>
        <w:t> 1、 2023年本部门开支会议费4.68万元，一是用于召开全镇党代会、人大会、基层党员会及经济工作会议3.25万元，人数894人，内容为学习党的二十大精神1次，人数148人；人大会1次，人数为310人，经济工作会1次，人数为86人，基层党员会议1次，人数为350人；二是召开全镇、村干部、部门负责人工作总结大会支出1.43万元，人数约180人，包括全镇机关干部、村干部、各部门负责人会议。</w:t>
      </w:r>
    </w:p>
    <w:p w14:paraId="5FC87B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bdr w:val="none" w:color="auto" w:sz="0" w:space="0"/>
        </w:rPr>
        <w:t>2、2023年本部门培训费支出决算数1.78万元，一是用于组织全镇范围内召开电焊、厨师以及其他技能培训三次支出0.15万元，人数约45人，二是组织单位事业编人员开展继续教育学习支出1.63万元，人数68人。</w:t>
      </w:r>
    </w:p>
    <w:p w14:paraId="6307DA57">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3、其他费用  2023年度本单位未举办节庆、晚会、论坛、赛事等活动</w:t>
      </w:r>
    </w:p>
    <w:p w14:paraId="024CF4FD">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28"/>
          <w:szCs w:val="28"/>
        </w:rPr>
        <w:t>十二、关于政府采购支出</w:t>
      </w:r>
    </w:p>
    <w:p w14:paraId="010EB45E">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 </w:t>
      </w:r>
      <w:r>
        <w:rPr>
          <w:rFonts w:hint="eastAsia" w:ascii="仿宋_GB2312" w:hAnsi="sans-serif" w:eastAsia="仿宋_GB2312" w:cs="仿宋_GB2312"/>
          <w:i w:val="0"/>
          <w:iCs w:val="0"/>
          <w:caps w:val="0"/>
          <w:color w:val="000000"/>
          <w:spacing w:val="0"/>
          <w:sz w:val="28"/>
          <w:szCs w:val="28"/>
        </w:rPr>
        <w:t>本部门2023年度政府采购支出总额154.23万元，其中：政府采购货物支出54.23万元、政府采购工程支出50.00万元、政府采购服务支出50.00万元。授予中小企业合同金额154.23万元，占政府采购支出总额的100.00%，其中：授予小微企业合同金额154.23万元，占政府采购支出总额的100.00%。货物采购授予中小企业合同金额占货物支出金额的35.16%，工程采购授予中小企业合同金额占工程支出金额的32.42%，服务采购授予中小企业合同金额占服务支出金额的32.42%。</w:t>
      </w:r>
    </w:p>
    <w:p w14:paraId="61D0DB65">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28"/>
          <w:szCs w:val="28"/>
        </w:rPr>
        <w:t>十三、关于国有资产占用情况</w:t>
      </w:r>
    </w:p>
    <w:p w14:paraId="133CD655">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  截至2023年12月31日，本单位共有车辆2辆，其中，主要领导干部用车0辆，机要通信用车0辆、应急保障用车0辆、执法执勤用车0辆、特种专业技术用车0辆、其他用车2辆，其他用车主要是用于日常工作及城管巡逻等工作需要；单位价值50万元以上通用设备0台（套）；单位价值100万元以上专用设备0台（套）。</w:t>
      </w:r>
    </w:p>
    <w:p w14:paraId="6F90243D">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28"/>
          <w:szCs w:val="28"/>
        </w:rPr>
        <w:t>十四、关于2023年度预算绩效情况的说明</w:t>
      </w:r>
    </w:p>
    <w:p w14:paraId="3EC10FE2">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（一）绩效管理工作开展情况</w:t>
      </w:r>
    </w:p>
    <w:p w14:paraId="527F0DB8">
      <w:pPr>
        <w:pStyle w:val="2"/>
        <w:keepNext w:val="0"/>
        <w:keepLines w:val="0"/>
        <w:widowControl/>
        <w:suppressLineNumbers w:val="0"/>
        <w:spacing w:before="120" w:beforeAutospacing="0" w:after="120" w:afterAutospacing="0" w:line="540" w:lineRule="atLeast"/>
        <w:ind w:left="0" w:firstLine="960"/>
        <w:rPr>
          <w:rFonts w:hint="default" w:ascii="sans-serif" w:hAnsi="sans-serif" w:eastAsia="sans-serif" w:cs="sans-serif"/>
          <w:i w:val="0"/>
          <w:iCs w:val="0"/>
          <w:caps w:val="0"/>
          <w:color w:val="000000"/>
          <w:spacing w:val="0"/>
          <w:sz w:val="27"/>
          <w:szCs w:val="27"/>
        </w:rPr>
      </w:pPr>
      <w:r>
        <w:rPr>
          <w:rFonts w:ascii="仿宋" w:hAnsi="仿宋" w:eastAsia="仿宋" w:cs="仿宋"/>
          <w:i w:val="0"/>
          <w:iCs w:val="0"/>
          <w:caps w:val="0"/>
          <w:color w:val="000000"/>
          <w:spacing w:val="0"/>
          <w:sz w:val="31"/>
          <w:szCs w:val="31"/>
          <w:shd w:val="clear" w:fill="FFFFFF"/>
        </w:rPr>
        <w:t>一是项目组织实施情况。我镇项目实施和资金使用分配坚持镇党委会议集体决策。项目管理严格按照《老粮仓镇人民政府投资项目管理办法》实施，成立老粮仓镇政府投资项目领导小组，由镇党委书记任顾问，镇人民政府镇长任组长，分管领导任常务副组长，纪检、财贸、国土、规划分管领导任副组长，经济发展办、纪委、财政所、国土所为成员单位，领导小组办公室设经济发展办，负责政府投资项目日常管理、稽察等工作，由经发办主任担任办公室主任。从项目计划、审批、工程概算及预算、合约制度、施工管理、项目验收、项目结算等七个方面对项目实施进行详细的规定。具体实施金额的要求严格按照宁乡市委办、市人民政府关于进一步加强政府投资建设项目管理的通知执行。</w:t>
      </w:r>
    </w:p>
    <w:p w14:paraId="678558DD">
      <w:pPr>
        <w:pStyle w:val="2"/>
        <w:keepNext w:val="0"/>
        <w:keepLines w:val="0"/>
        <w:widowControl/>
        <w:suppressLineNumbers w:val="0"/>
        <w:spacing w:before="120" w:beforeAutospacing="0" w:after="120" w:afterAutospacing="0" w:line="540" w:lineRule="atLeast"/>
        <w:ind w:left="0" w:firstLine="645"/>
        <w:rPr>
          <w:rFonts w:hint="default" w:ascii="sans-serif" w:hAnsi="sans-serif" w:eastAsia="sans-serif" w:cs="sans-serif"/>
          <w:i w:val="0"/>
          <w:iCs w:val="0"/>
          <w:caps w:val="0"/>
          <w:color w:val="000000"/>
          <w:spacing w:val="0"/>
          <w:sz w:val="27"/>
          <w:szCs w:val="27"/>
        </w:rPr>
      </w:pPr>
      <w:r>
        <w:rPr>
          <w:rFonts w:hint="eastAsia" w:ascii="仿宋" w:hAnsi="仿宋" w:eastAsia="仿宋" w:cs="仿宋"/>
          <w:i w:val="0"/>
          <w:iCs w:val="0"/>
          <w:caps w:val="0"/>
          <w:color w:val="000000"/>
          <w:spacing w:val="0"/>
          <w:sz w:val="31"/>
          <w:szCs w:val="31"/>
          <w:shd w:val="clear" w:fill="FFFFFF"/>
        </w:rPr>
        <w:t>二是资产管理情况</w:t>
      </w:r>
      <w:r>
        <w:rPr>
          <w:rFonts w:hint="eastAsia" w:ascii="宋体" w:hAnsi="宋体" w:eastAsia="宋体" w:cs="宋体"/>
          <w:i w:val="0"/>
          <w:iCs w:val="0"/>
          <w:caps w:val="0"/>
          <w:color w:val="333333"/>
          <w:spacing w:val="0"/>
          <w:sz w:val="19"/>
          <w:szCs w:val="19"/>
        </w:rPr>
        <w:t>。</w:t>
      </w:r>
      <w:r>
        <w:rPr>
          <w:rFonts w:hint="eastAsia" w:ascii="仿宋" w:hAnsi="仿宋" w:eastAsia="仿宋" w:cs="仿宋"/>
          <w:i w:val="0"/>
          <w:iCs w:val="0"/>
          <w:caps w:val="0"/>
          <w:color w:val="000000"/>
          <w:spacing w:val="0"/>
          <w:sz w:val="31"/>
          <w:szCs w:val="31"/>
          <w:shd w:val="clear" w:fill="FFFFFF"/>
        </w:rPr>
        <w:t>我镇固定资产的管理和使用坚持“统一政策、统一领导、分级管理、责任到人、物尽其用”的原则。镇财政所安排专人负责固定资产台账登记管理，加强资产管理信息系统建设，及时登记资产变动情况，按时上报资产信息数据。2023年初固定资产净值25421.8万元，全年共提固定资产累计折旧639.4万元，2023年固定资产期末余额25506.9万元。所有资产的构建、购入、出租、报废等严格按照《宁乡市行政事业单位过于资产管理暂行办法》的规定，经镇领导审核同意后，报市乡镇财政监管中心以及国资局审批后执行。</w:t>
      </w:r>
    </w:p>
    <w:p w14:paraId="73F6BD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firstLine="420"/>
        <w:textAlignment w:val="center"/>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bdr w:val="none" w:color="auto" w:sz="0" w:space="0"/>
        </w:rPr>
        <w:t>（二）部门整体支出绩效情况</w:t>
      </w:r>
    </w:p>
    <w:p w14:paraId="3BBC2A56">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2023年按照乡镇本级预算绩效管理工作的总体要求，全年单位整体支出10173.11万元，全部实行整体支出绩效目标管理，绩效良好，具体为：</w:t>
      </w:r>
    </w:p>
    <w:p w14:paraId="00488CC5">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一、抓牢抓实主责主业，严格落实“一岗双责”的总体目标，实现镇域内经济和社会事业全面发展。</w:t>
      </w:r>
    </w:p>
    <w:p w14:paraId="3EBC8700">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二、整体绩效管理目标是加强了我镇财务科学化精细化管理。1、合理安排调度资金，确保机关内各项各部室工作有序开展，2、大力开展增加节支，节约机关运行成本，3、用好用活项目资金，对项目资金实行科学化、精细化管理，提高财政资金使用效益。</w:t>
      </w:r>
    </w:p>
    <w:p w14:paraId="23A6D4F5">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rPr>
        <w:t>老粮仓镇通过规范预算支出管理，不断完善内部管理制度，理顺内部业务管理流程，部门整体支出绩效情况如下:</w:t>
      </w:r>
    </w:p>
    <w:p w14:paraId="1A2C38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jc w:val="both"/>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bdr w:val="none" w:color="auto" w:sz="0" w:space="0"/>
        </w:rPr>
        <w:t>经济性分析</w:t>
      </w:r>
    </w:p>
    <w:p w14:paraId="0B21382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jc w:val="both"/>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bdr w:val="none" w:color="auto" w:sz="0" w:space="0"/>
        </w:rPr>
        <w:t>2023年，我镇坚持以经济建设为中心，积极采取各种措施，培植财源，同时狠抓增收节支，圆满完成了各项财税任务，为我镇经济持续增长和社会各项事业快速发展作出了积极的贡献。</w:t>
      </w:r>
    </w:p>
    <w:p w14:paraId="2BE6C23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jc w:val="both"/>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bdr w:val="none" w:color="auto" w:sz="0" w:space="0"/>
        </w:rPr>
        <w:t>（1）加强税收征管，积极组织抓收入。</w:t>
      </w:r>
      <w:r>
        <w:rPr>
          <w:rFonts w:hint="eastAsia" w:ascii="仿宋_GB2312" w:hAnsi="sans-serif" w:eastAsia="仿宋_GB2312" w:cs="仿宋_GB2312"/>
          <w:i w:val="0"/>
          <w:iCs w:val="0"/>
          <w:caps w:val="0"/>
          <w:color w:val="000000"/>
          <w:spacing w:val="0"/>
          <w:sz w:val="28"/>
          <w:szCs w:val="28"/>
          <w:bdr w:val="none" w:color="auto" w:sz="0" w:space="0"/>
        </w:rPr>
        <w:t>我镇紧紧围绕年初财政目标任务，按照“抓早、抓紧、抓实、抓出成效”的工作思路，确保了我镇每月能够按时完成税收的任务，在疫情反复的客观情况下，能在组织收入的过程中克服一切不利因素，分析税源并及时与上级财政部门沟通寻求支持，寻找新的税收增长点，超额完成了财税收入任务，确保了我镇税收的稳定增长。</w:t>
      </w:r>
    </w:p>
    <w:p w14:paraId="7585CAF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jc w:val="both"/>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bdr w:val="none" w:color="auto" w:sz="0" w:space="0"/>
        </w:rPr>
        <w:t>（2）严格支出管理，聚力开源节流。</w:t>
      </w:r>
      <w:r>
        <w:rPr>
          <w:rFonts w:hint="eastAsia" w:ascii="仿宋_GB2312" w:hAnsi="sans-serif" w:eastAsia="仿宋_GB2312" w:cs="仿宋_GB2312"/>
          <w:i w:val="0"/>
          <w:iCs w:val="0"/>
          <w:caps w:val="0"/>
          <w:color w:val="000000"/>
          <w:spacing w:val="0"/>
          <w:sz w:val="28"/>
          <w:szCs w:val="28"/>
          <w:bdr w:val="none" w:color="auto" w:sz="0" w:space="0"/>
        </w:rPr>
        <w:t>一年来，我镇牢固树立 “过紧日子”理念，建立健全厉行节约长效机制，继续严格控制和压减一般性支出，抓紧抓好支出预算执行，既促进了廉政建设，又保证了各项事业的正常开展。</w:t>
      </w:r>
    </w:p>
    <w:p w14:paraId="07F13F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jc w:val="both"/>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bdr w:val="none" w:color="auto" w:sz="0" w:space="0"/>
        </w:rPr>
        <w:t>（3）优化支出结构，聚焦民生发展。</w:t>
      </w:r>
      <w:r>
        <w:rPr>
          <w:rFonts w:hint="eastAsia" w:ascii="仿宋_GB2312" w:hAnsi="sans-serif" w:eastAsia="仿宋_GB2312" w:cs="仿宋_GB2312"/>
          <w:i w:val="0"/>
          <w:iCs w:val="0"/>
          <w:caps w:val="0"/>
          <w:color w:val="000000"/>
          <w:spacing w:val="0"/>
          <w:sz w:val="28"/>
          <w:szCs w:val="28"/>
          <w:bdr w:val="none" w:color="auto" w:sz="0" w:space="0"/>
        </w:rPr>
        <w:t>我镇坚持以人民为中心的发展思想，突出公共财政导向，为政府办好民生实事提供财力保障，促进各项民生事业发展。</w:t>
      </w:r>
    </w:p>
    <w:p w14:paraId="3DF3EB7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jc w:val="both"/>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bdr w:val="none" w:color="auto" w:sz="0" w:space="0"/>
        </w:rPr>
        <w:t>效率性分析</w:t>
      </w:r>
    </w:p>
    <w:p w14:paraId="60ADEB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jc w:val="both"/>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bdr w:val="none" w:color="auto" w:sz="0" w:space="0"/>
        </w:rPr>
        <w:t>一年来，我镇紧扣“生财、聚财、用财”三篇文章，按照“保基本、守底线、促均衡、提质量”的基本要求，全力优化支出结构，强化财政管理，提高资金绩效，按时按质按量完成了各项工作，有力地促进了全镇经济社会平稳健康发展。</w:t>
      </w:r>
    </w:p>
    <w:p w14:paraId="2926A6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jc w:val="both"/>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bdr w:val="none" w:color="auto" w:sz="0" w:space="0"/>
        </w:rPr>
        <w:t>有效性分析</w:t>
      </w:r>
    </w:p>
    <w:p w14:paraId="1F8E22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jc w:val="both"/>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bdr w:val="none" w:color="auto" w:sz="0" w:space="0"/>
        </w:rPr>
        <w:t>2023年，我们砥砺奋进、负重前行，推进产业项目蓬勃发展，综合实力稳定增长。一是农业产业提质增效。种植早稻面积3.34万亩，中晚稻面积3.32万亩；种植老品种生态大米1000亩；完成烟叶生产3300亩任务，烟叶产量10902担，经济效益达210万，亩产量排名全市第一。二是项目建设提档升级。高标完成卫生院消防通道改建、公益性墓地、老粮仓中学维修改建、唐市小学食堂改造和进出道路安全隐患整治等项目，切实提升居民获得感、幸福感。三是招商引资提标扩面。发挥老粮仓“章子客”资源人脉，吸引社会投资1.2亿，打造“客莱谛”珠宝文创园。充分动员域内商会会员建设楚沩香花猪、兴石农业等企业，促进本地农业企业竞相发展，持续带动农村劳动力就业780余人。</w:t>
      </w:r>
    </w:p>
    <w:p w14:paraId="7F5FA2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jc w:val="both"/>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bdr w:val="none" w:color="auto" w:sz="0" w:space="0"/>
        </w:rPr>
        <w:t>可持续性分析</w:t>
      </w:r>
    </w:p>
    <w:p w14:paraId="1AE495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55" w:lineRule="atLeast"/>
        <w:ind w:left="0" w:right="0" w:firstLine="555"/>
        <w:jc w:val="both"/>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28"/>
          <w:szCs w:val="28"/>
          <w:bdr w:val="none" w:color="auto" w:sz="0" w:space="0"/>
        </w:rPr>
        <w:t>2023年，我镇在完成支出后，密切关注后续政策、资金、人员机构安排和管理措施等影响项目可持续发展的因素，确保工作长期平稳进行。</w:t>
      </w:r>
    </w:p>
    <w:p w14:paraId="77F35CDE">
      <w:pPr>
        <w:pStyle w:val="2"/>
        <w:keepNext w:val="0"/>
        <w:keepLines w:val="0"/>
        <w:widowControl/>
        <w:suppressLineNumbers w:val="0"/>
        <w:spacing w:before="120" w:beforeAutospacing="0" w:after="120" w:afterAutospacing="0" w:line="555"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（三）存在的问题及原因分析</w:t>
      </w:r>
    </w:p>
    <w:p w14:paraId="7B780F2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40" w:lineRule="atLeast"/>
        <w:ind w:left="0" w:right="0" w:firstLine="645"/>
        <w:jc w:val="both"/>
        <w:rPr>
          <w:rFonts w:hint="default" w:ascii="sans-serif" w:hAnsi="sans-serif" w:eastAsia="sans-serif" w:cs="sans-serif"/>
          <w:i w:val="0"/>
          <w:iCs w:val="0"/>
          <w:caps w:val="0"/>
          <w:color w:val="000000"/>
          <w:spacing w:val="0"/>
          <w:sz w:val="27"/>
          <w:szCs w:val="27"/>
        </w:rPr>
      </w:pPr>
      <w:r>
        <w:rPr>
          <w:rFonts w:hint="eastAsia" w:ascii="仿宋" w:hAnsi="仿宋" w:eastAsia="仿宋" w:cs="仿宋"/>
          <w:i w:val="0"/>
          <w:iCs w:val="0"/>
          <w:caps w:val="0"/>
          <w:color w:val="000000"/>
          <w:spacing w:val="0"/>
          <w:sz w:val="31"/>
          <w:szCs w:val="31"/>
          <w:bdr w:val="none" w:color="auto" w:sz="0" w:space="0"/>
          <w:shd w:val="clear" w:fill="FFFFFF"/>
        </w:rPr>
        <w:t>1、年初预算编制不够精细，部分支出超预算。预算编制不够明确和细化，预算编制的合理性还需要提高。</w:t>
      </w:r>
    </w:p>
    <w:p w14:paraId="6B1297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40" w:lineRule="atLeast"/>
        <w:ind w:left="0" w:right="0" w:firstLine="645"/>
        <w:jc w:val="both"/>
        <w:rPr>
          <w:rFonts w:hint="default" w:ascii="sans-serif" w:hAnsi="sans-serif" w:eastAsia="sans-serif" w:cs="sans-serif"/>
          <w:i w:val="0"/>
          <w:iCs w:val="0"/>
          <w:caps w:val="0"/>
          <w:color w:val="000000"/>
          <w:spacing w:val="0"/>
          <w:sz w:val="27"/>
          <w:szCs w:val="27"/>
        </w:rPr>
      </w:pPr>
      <w:r>
        <w:rPr>
          <w:rFonts w:hint="eastAsia" w:ascii="仿宋" w:hAnsi="仿宋" w:eastAsia="仿宋" w:cs="仿宋"/>
          <w:i w:val="0"/>
          <w:iCs w:val="0"/>
          <w:caps w:val="0"/>
          <w:color w:val="000000"/>
          <w:spacing w:val="0"/>
          <w:sz w:val="31"/>
          <w:szCs w:val="31"/>
          <w:bdr w:val="none" w:color="auto" w:sz="0" w:space="0"/>
          <w:shd w:val="clear" w:fill="FFFFFF"/>
        </w:rPr>
        <w:t>2、部分项目实施及资金支付时，施工单位、责任线办与财政所流程对接不够及时有效。</w:t>
      </w:r>
    </w:p>
    <w:p w14:paraId="5D9DD95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40" w:lineRule="atLeast"/>
        <w:ind w:left="0" w:right="0" w:firstLine="645"/>
        <w:jc w:val="both"/>
        <w:rPr>
          <w:rFonts w:hint="default" w:ascii="sans-serif" w:hAnsi="sans-serif" w:eastAsia="sans-serif" w:cs="sans-serif"/>
          <w:i w:val="0"/>
          <w:iCs w:val="0"/>
          <w:caps w:val="0"/>
          <w:color w:val="000000"/>
          <w:spacing w:val="0"/>
          <w:sz w:val="27"/>
          <w:szCs w:val="27"/>
        </w:rPr>
      </w:pPr>
      <w:r>
        <w:rPr>
          <w:rFonts w:hint="eastAsia" w:ascii="仿宋" w:hAnsi="仿宋" w:eastAsia="仿宋" w:cs="仿宋"/>
          <w:i w:val="0"/>
          <w:iCs w:val="0"/>
          <w:caps w:val="0"/>
          <w:color w:val="000000"/>
          <w:spacing w:val="0"/>
          <w:sz w:val="31"/>
          <w:szCs w:val="31"/>
          <w:bdr w:val="none" w:color="auto" w:sz="0" w:space="0"/>
          <w:shd w:val="clear" w:fill="FFFFFF"/>
        </w:rPr>
        <w:t>3、资产管理还不够规范，部分用具管理权责不清，日常维修维护不够到位。</w:t>
      </w:r>
    </w:p>
    <w:p w14:paraId="710BE3F9">
      <w:pPr>
        <w:pStyle w:val="2"/>
        <w:keepNext w:val="0"/>
        <w:keepLines w:val="0"/>
        <w:widowControl/>
        <w:suppressLineNumbers w:val="0"/>
        <w:spacing w:line="555" w:lineRule="atLeast"/>
        <w:ind w:left="0" w:firstLine="720"/>
        <w:jc w:val="center"/>
        <w:rPr>
          <w:rFonts w:hint="default" w:ascii="sans-serif" w:hAnsi="sans-serif" w:eastAsia="sans-serif" w:cs="sans-serif"/>
          <w:i w:val="0"/>
          <w:iCs w:val="0"/>
          <w:caps w:val="0"/>
          <w:color w:val="000000"/>
          <w:spacing w:val="0"/>
          <w:sz w:val="27"/>
          <w:szCs w:val="27"/>
        </w:rPr>
      </w:pPr>
      <w:r>
        <w:rPr>
          <w:rFonts w:hint="eastAsia" w:ascii="方正小标宋_GBK" w:hAnsi="方正小标宋_GBK" w:eastAsia="方正小标宋_GBK" w:cs="方正小标宋_GBK"/>
          <w:i w:val="0"/>
          <w:iCs w:val="0"/>
          <w:caps w:val="0"/>
          <w:color w:val="000000"/>
          <w:spacing w:val="0"/>
          <w:sz w:val="36"/>
          <w:szCs w:val="36"/>
        </w:rPr>
        <w:t>第四部分</w:t>
      </w:r>
    </w:p>
    <w:p w14:paraId="208B0190">
      <w:pPr>
        <w:pStyle w:val="2"/>
        <w:keepNext w:val="0"/>
        <w:keepLines w:val="0"/>
        <w:widowControl/>
        <w:suppressLineNumbers w:val="0"/>
        <w:spacing w:line="555" w:lineRule="atLeast"/>
        <w:ind w:left="0" w:firstLine="720"/>
        <w:jc w:val="center"/>
        <w:rPr>
          <w:rFonts w:hint="default" w:ascii="sans-serif" w:hAnsi="sans-serif" w:eastAsia="sans-serif" w:cs="sans-serif"/>
          <w:i w:val="0"/>
          <w:iCs w:val="0"/>
          <w:caps w:val="0"/>
          <w:color w:val="000000"/>
          <w:spacing w:val="0"/>
          <w:sz w:val="27"/>
          <w:szCs w:val="27"/>
        </w:rPr>
      </w:pPr>
      <w:r>
        <w:rPr>
          <w:rFonts w:hint="eastAsia" w:ascii="方正小标宋_GBK" w:hAnsi="方正小标宋_GBK" w:eastAsia="方正小标宋_GBK" w:cs="方正小标宋_GBK"/>
          <w:i w:val="0"/>
          <w:iCs w:val="0"/>
          <w:caps w:val="0"/>
          <w:color w:val="000000"/>
          <w:spacing w:val="0"/>
          <w:sz w:val="36"/>
          <w:szCs w:val="36"/>
        </w:rPr>
        <w:t>名词解释</w:t>
      </w:r>
    </w:p>
    <w:p w14:paraId="5C03540D">
      <w:pPr>
        <w:pStyle w:val="2"/>
        <w:keepNext w:val="0"/>
        <w:keepLines w:val="0"/>
        <w:widowControl/>
        <w:suppressLineNumbers w:val="0"/>
        <w:spacing w:before="120" w:beforeAutospacing="0" w:after="120" w:afterAutospacing="0" w:line="368"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一、机关运行经费：</w:t>
      </w:r>
      <w:r>
        <w:rPr>
          <w:rFonts w:hint="eastAsia" w:ascii="仿宋_GB2312" w:hAnsi="sans-serif" w:eastAsia="仿宋_GB2312" w:cs="仿宋_GB2312"/>
          <w:i w:val="0"/>
          <w:iCs w:val="0"/>
          <w:caps w:val="0"/>
          <w:color w:val="000000"/>
          <w:spacing w:val="0"/>
          <w:sz w:val="28"/>
          <w:szCs w:val="28"/>
        </w:rPr>
        <w:t>是指行政单位（含参照公务员法管理事业单位）使用一般公共预算财政拨款安排的基本支出中的日常公用经费支出。包括办公及印刷费、邮电费、差旅费、会议费、福利费、日常维修费、专用资料及一般设备购置费、办公用房水电费、办公用品取暖费、办公用房物业管理费、公务用车运行维护费以及其他费用。</w:t>
      </w:r>
    </w:p>
    <w:p w14:paraId="145C6A28">
      <w:pPr>
        <w:pStyle w:val="2"/>
        <w:keepNext w:val="0"/>
        <w:keepLines w:val="0"/>
        <w:widowControl/>
        <w:suppressLineNumbers w:val="0"/>
        <w:spacing w:before="120" w:beforeAutospacing="0" w:after="120" w:afterAutospacing="0" w:line="368"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二、“三公”经费：</w:t>
      </w:r>
      <w:r>
        <w:rPr>
          <w:rFonts w:hint="eastAsia" w:ascii="仿宋_GB2312" w:hAnsi="sans-serif" w:eastAsia="仿宋_GB2312" w:cs="仿宋_GB2312"/>
          <w:i w:val="0"/>
          <w:iCs w:val="0"/>
          <w:caps w:val="0"/>
          <w:color w:val="000000"/>
          <w:spacing w:val="0"/>
          <w:sz w:val="28"/>
          <w:szCs w:val="28"/>
        </w:rPr>
        <w:t>是指财政拨款支出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1FD230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8" w:lineRule="atLeast"/>
        <w:ind w:left="0" w:right="0" w:firstLine="555"/>
        <w:jc w:val="both"/>
        <w:textAlignment w:val="center"/>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bdr w:val="none" w:color="auto" w:sz="0" w:space="0"/>
        </w:rPr>
        <w:t>三、财政拨款收入：</w:t>
      </w:r>
      <w:r>
        <w:rPr>
          <w:rFonts w:hint="eastAsia" w:ascii="仿宋_GB2312" w:hAnsi="sans-serif" w:eastAsia="仿宋_GB2312" w:cs="仿宋_GB2312"/>
          <w:i w:val="0"/>
          <w:iCs w:val="0"/>
          <w:caps w:val="0"/>
          <w:color w:val="000000"/>
          <w:spacing w:val="0"/>
          <w:sz w:val="28"/>
          <w:szCs w:val="28"/>
          <w:bdr w:val="none" w:color="auto" w:sz="0" w:space="0"/>
        </w:rPr>
        <w:t>指本年度从本级财政部门取得的财政拨款，包括一般公共预算财政拨款和政府性基金预算财政拨款。</w:t>
      </w:r>
    </w:p>
    <w:p w14:paraId="1157A838">
      <w:pPr>
        <w:pStyle w:val="2"/>
        <w:keepNext w:val="0"/>
        <w:keepLines w:val="0"/>
        <w:widowControl/>
        <w:suppressLineNumbers w:val="0"/>
        <w:spacing w:before="120" w:beforeAutospacing="0" w:after="120" w:afterAutospacing="0" w:line="368" w:lineRule="atLeast"/>
        <w:ind w:left="0" w:firstLine="55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rPr>
        <w:t>四、其他收入：</w:t>
      </w:r>
      <w:r>
        <w:rPr>
          <w:rFonts w:hint="eastAsia" w:ascii="仿宋_GB2312" w:hAnsi="sans-serif" w:eastAsia="仿宋_GB2312" w:cs="仿宋_GB2312"/>
          <w:i w:val="0"/>
          <w:iCs w:val="0"/>
          <w:caps w:val="0"/>
          <w:color w:val="000000"/>
          <w:spacing w:val="0"/>
          <w:sz w:val="28"/>
          <w:szCs w:val="28"/>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w:t>
      </w:r>
    </w:p>
    <w:p w14:paraId="643C93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8" w:lineRule="atLeast"/>
        <w:ind w:left="0" w:right="0" w:firstLine="555"/>
        <w:jc w:val="both"/>
        <w:textAlignment w:val="center"/>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bdr w:val="none" w:color="auto" w:sz="0" w:space="0"/>
        </w:rPr>
        <w:t>五、年初结转和结余：</w:t>
      </w:r>
      <w:r>
        <w:rPr>
          <w:rFonts w:hint="eastAsia" w:ascii="仿宋_GB2312" w:hAnsi="sans-serif" w:eastAsia="仿宋_GB2312" w:cs="仿宋_GB2312"/>
          <w:i w:val="0"/>
          <w:iCs w:val="0"/>
          <w:caps w:val="0"/>
          <w:color w:val="000000"/>
          <w:spacing w:val="0"/>
          <w:sz w:val="28"/>
          <w:szCs w:val="28"/>
          <w:bdr w:val="none" w:color="auto" w:sz="0" w:space="0"/>
        </w:rPr>
        <w:t>指单位上年结转本年使用的基本支出结转、项目支出结转和结余、经营结余。不包括事业单位净资产项下的事业基金和专用基金。</w:t>
      </w:r>
    </w:p>
    <w:p w14:paraId="715D00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8" w:lineRule="atLeast"/>
        <w:ind w:left="0" w:right="0" w:firstLine="555"/>
        <w:jc w:val="both"/>
        <w:textAlignment w:val="center"/>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bdr w:val="none" w:color="auto" w:sz="0" w:space="0"/>
        </w:rPr>
        <w:t>六、年末结转和结余：</w:t>
      </w:r>
      <w:r>
        <w:rPr>
          <w:rFonts w:hint="eastAsia" w:ascii="仿宋_GB2312" w:hAnsi="sans-serif" w:eastAsia="仿宋_GB2312" w:cs="仿宋_GB2312"/>
          <w:i w:val="0"/>
          <w:iCs w:val="0"/>
          <w:caps w:val="0"/>
          <w:color w:val="000000"/>
          <w:spacing w:val="0"/>
          <w:sz w:val="28"/>
          <w:szCs w:val="28"/>
          <w:bdr w:val="none" w:color="auto" w:sz="0" w:space="0"/>
        </w:rPr>
        <w:t>指单位结转下年的基本支出结转、项目支出结转和结余、经营结余。不包括事业单位净资产项下的事业基金和专用基金。</w:t>
      </w:r>
    </w:p>
    <w:p w14:paraId="48CD00C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8" w:lineRule="atLeast"/>
        <w:ind w:left="0" w:right="0" w:firstLine="555"/>
        <w:jc w:val="both"/>
        <w:textAlignment w:val="center"/>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bdr w:val="none" w:color="auto" w:sz="0" w:space="0"/>
        </w:rPr>
        <w:t>七、基本支出：</w:t>
      </w:r>
      <w:r>
        <w:rPr>
          <w:rFonts w:hint="eastAsia" w:ascii="仿宋_GB2312" w:hAnsi="sans-serif" w:eastAsia="仿宋_GB2312" w:cs="仿宋_GB2312"/>
          <w:i w:val="0"/>
          <w:iCs w:val="0"/>
          <w:caps w:val="0"/>
          <w:color w:val="000000"/>
          <w:spacing w:val="0"/>
          <w:sz w:val="28"/>
          <w:szCs w:val="28"/>
          <w:bdr w:val="none" w:color="auto" w:sz="0" w:space="0"/>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311243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8" w:lineRule="atLeast"/>
        <w:ind w:left="0" w:right="0" w:firstLine="555"/>
        <w:jc w:val="both"/>
        <w:textAlignment w:val="center"/>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bdr w:val="none" w:color="auto" w:sz="0" w:space="0"/>
        </w:rPr>
        <w:t>八、项目支出：</w:t>
      </w:r>
      <w:r>
        <w:rPr>
          <w:rFonts w:hint="eastAsia" w:ascii="仿宋_GB2312" w:hAnsi="sans-serif" w:eastAsia="仿宋_GB2312" w:cs="仿宋_GB2312"/>
          <w:i w:val="0"/>
          <w:iCs w:val="0"/>
          <w:caps w:val="0"/>
          <w:color w:val="000000"/>
          <w:spacing w:val="0"/>
          <w:sz w:val="28"/>
          <w:szCs w:val="28"/>
          <w:bdr w:val="none" w:color="auto" w:sz="0" w:space="0"/>
        </w:rPr>
        <w:t>指在基本支出之外为完成特定行政任务和事业发展目标所发生的支出。</w:t>
      </w:r>
    </w:p>
    <w:p w14:paraId="4687D9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8" w:lineRule="atLeast"/>
        <w:ind w:left="0" w:right="0" w:firstLine="555"/>
        <w:jc w:val="both"/>
        <w:textAlignment w:val="center"/>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bdr w:val="none" w:color="auto" w:sz="0" w:space="0"/>
        </w:rPr>
        <w:t>九、商品和服务支出（支出经济分类科目类级）：</w:t>
      </w:r>
      <w:r>
        <w:rPr>
          <w:rFonts w:hint="eastAsia" w:ascii="仿宋_GB2312" w:hAnsi="sans-serif" w:eastAsia="仿宋_GB2312" w:cs="仿宋_GB2312"/>
          <w:i w:val="0"/>
          <w:iCs w:val="0"/>
          <w:caps w:val="0"/>
          <w:color w:val="000000"/>
          <w:spacing w:val="0"/>
          <w:sz w:val="28"/>
          <w:szCs w:val="28"/>
          <w:bdr w:val="none" w:color="auto" w:sz="0" w:space="0"/>
        </w:rPr>
        <w:t>反映单位购买商品和服务的支出（不包括用于购置固定资产的支出、战略性和应急储备支出）。</w:t>
      </w:r>
    </w:p>
    <w:p w14:paraId="376D8A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8" w:lineRule="atLeast"/>
        <w:ind w:left="0" w:right="0" w:firstLine="555"/>
        <w:jc w:val="both"/>
        <w:textAlignment w:val="center"/>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28"/>
          <w:szCs w:val="28"/>
          <w:bdr w:val="none" w:color="auto" w:sz="0" w:space="0"/>
        </w:rPr>
        <w:t>十、对个人和家庭的补助（支出经济分类科目类级）：</w:t>
      </w:r>
      <w:r>
        <w:rPr>
          <w:rFonts w:hint="eastAsia" w:ascii="仿宋_GB2312" w:hAnsi="sans-serif" w:eastAsia="仿宋_GB2312" w:cs="仿宋_GB2312"/>
          <w:i w:val="0"/>
          <w:iCs w:val="0"/>
          <w:caps w:val="0"/>
          <w:color w:val="000000"/>
          <w:spacing w:val="0"/>
          <w:sz w:val="28"/>
          <w:szCs w:val="28"/>
          <w:bdr w:val="none" w:color="auto" w:sz="0" w:space="0"/>
        </w:rPr>
        <w:t>反映用于对个人和家庭的补助支出。</w:t>
      </w:r>
    </w:p>
    <w:p w14:paraId="0526E41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177F91"/>
    <w:rsid w:val="5C177F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34</Pages>
  <Words>0</Words>
  <Characters>0</Characters>
  <Lines>0</Lines>
  <Paragraphs>0</Paragraphs>
  <TotalTime>1</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2025-12-25T00:55:00Z</dcterms:created>
  <dc:creator>谷湘楚</dc:creator>
  <cp:lastModifiedBy>谷湘楚</cp:lastModifiedBy>
  <dcterms:modified xsi:type="dcterms:W3CDTF">2025-12-25T00:57:25Z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A53DDE391F9B4FEF83DC06ABE1C8A7E1_11</vt:lpwstr>
  </property>
  <property fmtid="{D5CDD505-2E9C-101B-9397-08002B2CF9AE}" pid="4" name="KSOTemplateDocerSaveRecord">
    <vt:lpwstr>eyJoZGlkIjoiOTdmZWM3ZDE2YTQ5M2RmNTM3Y2NkYTNiODgyZGRhNDciLCJ1c2VySWQiOiIxNDg0NzUxODI4In0=</vt:lpwstr>
  </property>
</Properties>
</file>