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3-3</w:t>
      </w:r>
    </w:p>
    <w:p>
      <w:pPr>
        <w:keepNext w:val="0"/>
        <w:keepLines w:val="0"/>
        <w:pageBreakBefore w:val="0"/>
        <w:widowControl w:val="0"/>
        <w:kinsoku/>
        <w:wordWrap/>
        <w:overflowPunct/>
        <w:topLinePunct w:val="0"/>
        <w:autoSpaceDE/>
        <w:autoSpaceDN/>
        <w:bidi w:val="0"/>
        <w:adjustRightInd/>
        <w:snapToGrid/>
        <w:jc w:val="center"/>
        <w:textAlignment w:val="auto"/>
        <w:rPr>
          <w:rFonts w:hint="default" w:eastAsiaTheme="minorEastAsia"/>
          <w:b/>
          <w:bCs/>
          <w:sz w:val="44"/>
          <w:szCs w:val="44"/>
          <w:lang w:val="en-US" w:eastAsia="zh-CN"/>
        </w:rPr>
      </w:pPr>
      <w:r>
        <w:rPr>
          <w:rFonts w:hint="eastAsia" w:asciiTheme="majorEastAsia" w:hAnsiTheme="majorEastAsia" w:eastAsiaTheme="majorEastAsia" w:cstheme="majorEastAsia"/>
          <w:b/>
          <w:bCs/>
          <w:sz w:val="44"/>
          <w:szCs w:val="44"/>
        </w:rPr>
        <w:t>2020</w:t>
      </w:r>
      <w:r>
        <w:rPr>
          <w:rFonts w:hint="eastAsia"/>
          <w:b/>
          <w:bCs/>
          <w:sz w:val="44"/>
          <w:szCs w:val="44"/>
        </w:rPr>
        <w:t>年度</w:t>
      </w:r>
      <w:r>
        <w:rPr>
          <w:rFonts w:hint="eastAsia"/>
          <w:b/>
          <w:bCs/>
          <w:sz w:val="44"/>
          <w:szCs w:val="44"/>
          <w:lang w:eastAsia="zh-CN"/>
        </w:rPr>
        <w:t>历经铺街道办事处</w:t>
      </w:r>
    </w:p>
    <w:p>
      <w:pPr>
        <w:jc w:val="center"/>
        <w:rPr>
          <w:rFonts w:hint="eastAsia"/>
          <w:b/>
          <w:bCs/>
          <w:sz w:val="44"/>
          <w:szCs w:val="44"/>
        </w:rPr>
      </w:pPr>
      <w:r>
        <w:rPr>
          <w:rFonts w:hint="eastAsia"/>
          <w:b/>
          <w:bCs/>
          <w:sz w:val="44"/>
          <w:szCs w:val="44"/>
        </w:rPr>
        <w:t>部门整体支出绩效自评报告</w:t>
      </w:r>
    </w:p>
    <w:p>
      <w:pPr>
        <w:widowControl/>
        <w:shd w:val="clear" w:color="auto" w:fill="FFFFFF"/>
        <w:spacing w:before="204" w:line="560" w:lineRule="exact"/>
        <w:jc w:val="left"/>
        <w:rPr>
          <w:rFonts w:hint="eastAsia" w:ascii="仿宋" w:hAnsi="仿宋" w:eastAsia="仿宋" w:cs="宋体"/>
          <w:b/>
          <w:color w:val="010101"/>
          <w:kern w:val="0"/>
          <w:sz w:val="30"/>
          <w:szCs w:val="30"/>
        </w:rPr>
      </w:pPr>
      <w:r>
        <w:rPr>
          <w:rFonts w:hint="eastAsia" w:ascii="仿宋" w:hAnsi="仿宋" w:eastAsia="仿宋" w:cs="宋体"/>
          <w:b/>
          <w:color w:val="010101"/>
          <w:kern w:val="0"/>
          <w:sz w:val="30"/>
          <w:szCs w:val="30"/>
        </w:rPr>
        <w:t>一、部门概况</w:t>
      </w:r>
    </w:p>
    <w:p>
      <w:pPr>
        <w:widowControl/>
        <w:shd w:val="clear" w:color="auto" w:fill="FFFFFF"/>
        <w:spacing w:before="204" w:line="560" w:lineRule="exact"/>
        <w:jc w:val="left"/>
        <w:rPr>
          <w:rFonts w:ascii="仿宋" w:hAnsi="仿宋" w:eastAsia="仿宋" w:cs="宋体"/>
          <w:b/>
          <w:color w:val="333333"/>
          <w:kern w:val="0"/>
          <w:sz w:val="30"/>
          <w:szCs w:val="30"/>
        </w:rPr>
      </w:pPr>
      <w:r>
        <w:rPr>
          <w:rFonts w:hint="eastAsia" w:ascii="仿宋" w:hAnsi="仿宋" w:eastAsia="仿宋" w:cs="宋体"/>
          <w:b/>
          <w:color w:val="010101"/>
          <w:kern w:val="0"/>
          <w:sz w:val="30"/>
          <w:szCs w:val="30"/>
        </w:rPr>
        <w:t>　</w:t>
      </w:r>
      <w:r>
        <w:rPr>
          <w:rFonts w:hint="eastAsia" w:ascii="仿宋" w:hAnsi="仿宋" w:eastAsia="仿宋" w:cs="宋体"/>
          <w:color w:val="010101"/>
          <w:kern w:val="0"/>
          <w:sz w:val="30"/>
          <w:szCs w:val="30"/>
          <w:lang w:val="en-US" w:eastAsia="zh-CN"/>
        </w:rPr>
        <w:t>（一）部门基本情况</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jc w:val="left"/>
        <w:rPr>
          <w:rFonts w:hint="eastAsia" w:ascii="宋体" w:hAnsi="宋体" w:eastAsia="宋体" w:cs="宋体"/>
          <w:color w:val="333333"/>
          <w:sz w:val="24"/>
          <w:szCs w:val="24"/>
        </w:rPr>
      </w:pPr>
      <w:r>
        <w:rPr>
          <w:rFonts w:hint="eastAsia" w:ascii="仿宋" w:hAnsi="仿宋" w:eastAsia="仿宋" w:cs="宋体"/>
          <w:color w:val="010101"/>
          <w:kern w:val="0"/>
          <w:sz w:val="30"/>
          <w:szCs w:val="30"/>
        </w:rPr>
        <w:t>　 </w:t>
      </w:r>
      <w:r>
        <w:rPr>
          <w:rFonts w:hint="eastAsia" w:ascii="仿宋" w:hAnsi="仿宋" w:eastAsia="仿宋" w:cs="宋体"/>
          <w:color w:val="010101"/>
          <w:kern w:val="0"/>
          <w:sz w:val="30"/>
          <w:szCs w:val="30"/>
          <w:lang w:val="en-US" w:eastAsia="zh-CN"/>
        </w:rPr>
        <w:t>1、</w:t>
      </w:r>
      <w:r>
        <w:rPr>
          <w:rFonts w:hint="eastAsia" w:ascii="仿宋" w:hAnsi="仿宋" w:eastAsia="仿宋" w:cs="宋体"/>
          <w:color w:val="010101"/>
          <w:kern w:val="0"/>
          <w:sz w:val="30"/>
          <w:szCs w:val="30"/>
        </w:rPr>
        <w:t>主要职能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eastAsiaTheme="minorEastAsia" w:cstheme="minorBidi"/>
          <w:kern w:val="2"/>
          <w:sz w:val="28"/>
          <w:szCs w:val="28"/>
          <w:lang w:val="en-US" w:eastAsia="zh-CN" w:bidi="ar-SA"/>
        </w:rPr>
        <w:t>历经铺</w:t>
      </w:r>
      <w:r>
        <w:rPr>
          <w:rFonts w:hint="eastAsia" w:ascii="宋体" w:hAnsi="宋体" w:eastAsiaTheme="minorEastAsia" w:cstheme="minorBidi"/>
          <w:kern w:val="2"/>
          <w:sz w:val="28"/>
          <w:szCs w:val="28"/>
          <w:lang w:val="en-US" w:eastAsia="zh-CN" w:bidi="ar-SA"/>
        </w:rPr>
        <w:t>街道</w:t>
      </w:r>
      <w:r>
        <w:rPr>
          <w:rFonts w:hint="eastAsia" w:eastAsiaTheme="minorEastAsia" w:cstheme="minorBidi"/>
          <w:kern w:val="2"/>
          <w:sz w:val="28"/>
          <w:szCs w:val="28"/>
          <w:lang w:val="en-US" w:eastAsia="zh-CN" w:bidi="ar-SA"/>
        </w:rPr>
        <w:t>办事处</w:t>
      </w:r>
      <w:r>
        <w:rPr>
          <w:rFonts w:hint="eastAsia" w:ascii="宋体" w:hAnsi="宋体" w:eastAsiaTheme="minorEastAsia" w:cstheme="minorBidi"/>
          <w:kern w:val="2"/>
          <w:sz w:val="28"/>
          <w:szCs w:val="28"/>
          <w:lang w:val="en-US" w:eastAsia="zh-CN" w:bidi="ar-SA"/>
        </w:rPr>
        <w:t>在街道党工委的领导下，依据法律和法规的规定，在辖区范围内行使经济建设、行政领导、综合协调、执法监督、城市管理等行政管理职能。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(1)贯彻执行党和国家的路线、方针、政策和上级人民政府关于街道工作方面的决定，制定具体的管理办法并组织实施;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(2)负责辖区内市容市貌和环境卫生的日常管理工作，发动辖区单位和群众保护环境，开展爱国卫生运动;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(3)动员和领导居民及各单位、各部门开展</w:t>
      </w:r>
      <w:r>
        <w:rPr>
          <w:rFonts w:hint="eastAsia" w:eastAsiaTheme="minorEastAsia" w:cstheme="minorBidi"/>
          <w:kern w:val="2"/>
          <w:sz w:val="28"/>
          <w:szCs w:val="28"/>
          <w:lang w:val="en-US" w:eastAsia="zh-CN" w:bidi="ar-SA"/>
        </w:rPr>
        <w:t>街道</w:t>
      </w:r>
      <w:r>
        <w:rPr>
          <w:rFonts w:hint="eastAsia" w:ascii="宋体" w:hAnsi="宋体" w:eastAsiaTheme="minorEastAsia" w:cstheme="minorBidi"/>
          <w:kern w:val="2"/>
          <w:sz w:val="28"/>
          <w:szCs w:val="28"/>
          <w:lang w:val="en-US" w:eastAsia="zh-CN" w:bidi="ar-SA"/>
        </w:rPr>
        <w:t>建设工作;制定并实施</w:t>
      </w:r>
      <w:r>
        <w:rPr>
          <w:rFonts w:hint="eastAsia" w:eastAsiaTheme="minorEastAsia" w:cstheme="minorBidi"/>
          <w:kern w:val="2"/>
          <w:sz w:val="28"/>
          <w:szCs w:val="28"/>
          <w:lang w:val="en-US" w:eastAsia="zh-CN" w:bidi="ar-SA"/>
        </w:rPr>
        <w:t>街道</w:t>
      </w:r>
      <w:r>
        <w:rPr>
          <w:rFonts w:hint="eastAsia" w:ascii="宋体" w:hAnsi="宋体" w:eastAsiaTheme="minorEastAsia" w:cstheme="minorBidi"/>
          <w:kern w:val="2"/>
          <w:sz w:val="28"/>
          <w:szCs w:val="28"/>
          <w:lang w:val="en-US" w:eastAsia="zh-CN" w:bidi="ar-SA"/>
        </w:rPr>
        <w:t>建设规划和年度计划;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(4)指导辖区内社区居民委员会的工作;协调解决行政事务、社会管理和公共服务方面的问题;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(5)负责辖区内社区集体经济组织的监督管理工作;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(6)负责辖区内普法教育工作，维护老人、妇女儿童的合法权益;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(7)负责辖区内安全生产和消防工作的指导、监督;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(8)会同有关部门做好本辖区综治、信访、维稳等工作;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(9)会同有关部门做好本辖区人口和计划生育工作;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left="0" w:right="0" w:firstLine="560" w:firstLineChars="200"/>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(10)会同有关部门做好辖区内的企业服务、在地统计工作;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(11)会同有关部门做好辖区人员就业、社保、退管等社会保障工作;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(12)协助武装部门做好国防动员、民兵训练和公民服兵役工作;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(13)配合有关部门做好防空、森林防火、防汛、防风、防旱、防震、征地和城市房屋拆迁、抢险救灾、重大动物疫情防控等工作;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center"/>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(14)承办</w:t>
      </w:r>
      <w:r>
        <w:rPr>
          <w:rFonts w:hint="eastAsia" w:eastAsiaTheme="minorEastAsia" w:cstheme="minorBidi"/>
          <w:kern w:val="2"/>
          <w:sz w:val="28"/>
          <w:szCs w:val="28"/>
          <w:lang w:val="en-US" w:eastAsia="zh-CN" w:bidi="ar-SA"/>
        </w:rPr>
        <w:t>市</w:t>
      </w:r>
      <w:r>
        <w:rPr>
          <w:rFonts w:hint="eastAsia" w:ascii="宋体" w:hAnsi="宋体" w:eastAsiaTheme="minorEastAsia" w:cstheme="minorBidi"/>
          <w:kern w:val="2"/>
          <w:sz w:val="28"/>
          <w:szCs w:val="28"/>
          <w:lang w:val="en-US" w:eastAsia="zh-CN" w:bidi="ar-SA"/>
        </w:rPr>
        <w:t>政府交办的其他事项。</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ind w:firstLine="600" w:firstLineChars="200"/>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2、职能职责</w:t>
      </w:r>
    </w:p>
    <w:p>
      <w:pPr>
        <w:pStyle w:val="5"/>
        <w:spacing w:before="0" w:beforeAutospacing="0" w:after="0" w:afterAutospacing="0" w:line="560" w:lineRule="exact"/>
        <w:ind w:firstLine="435"/>
        <w:textAlignment w:val="center"/>
        <w:rPr>
          <w:rFonts w:hint="eastAsia" w:ascii="仿宋" w:hAnsi="仿宋" w:eastAsia="仿宋" w:cs="宋体"/>
          <w:b w:val="0"/>
          <w:bCs w:val="0"/>
          <w:color w:val="010101"/>
          <w:kern w:val="0"/>
          <w:sz w:val="30"/>
          <w:szCs w:val="30"/>
        </w:rPr>
      </w:pPr>
      <w:r>
        <w:rPr>
          <w:rFonts w:hint="eastAsia" w:ascii="宋体" w:hAnsi="宋体" w:eastAsiaTheme="minorEastAsia" w:cstheme="minorBidi"/>
          <w:kern w:val="2"/>
          <w:sz w:val="28"/>
          <w:szCs w:val="28"/>
          <w:lang w:val="en-US" w:eastAsia="zh-CN" w:bidi="ar-SA"/>
        </w:rPr>
        <w:t>历经铺街道办事处部门共设机关、一所三中心及一队。具体职能职责如下：</w:t>
      </w:r>
    </w:p>
    <w:p>
      <w:pPr>
        <w:spacing w:line="540" w:lineRule="exact"/>
        <w:ind w:firstLine="555"/>
        <w:rPr>
          <w:rFonts w:ascii="宋体"/>
          <w:sz w:val="28"/>
          <w:szCs w:val="28"/>
        </w:rPr>
      </w:pPr>
      <w:r>
        <w:rPr>
          <w:rFonts w:hint="eastAsia" w:ascii="宋体" w:hAnsi="宋体" w:eastAsiaTheme="minorEastAsia" w:cstheme="minorBidi"/>
          <w:kern w:val="2"/>
          <w:sz w:val="28"/>
          <w:szCs w:val="28"/>
          <w:lang w:val="en-US" w:eastAsia="zh-CN" w:bidi="ar-SA"/>
        </w:rPr>
        <w:t>(1)</w:t>
      </w:r>
      <w:r>
        <w:rPr>
          <w:rFonts w:hint="eastAsia" w:ascii="宋体" w:hAnsi="宋体"/>
          <w:sz w:val="28"/>
          <w:szCs w:val="28"/>
          <w:lang w:eastAsia="zh-CN"/>
        </w:rPr>
        <w:t>机关</w:t>
      </w:r>
      <w:r>
        <w:rPr>
          <w:rFonts w:ascii="宋体" w:hAnsi="宋体"/>
          <w:sz w:val="28"/>
          <w:szCs w:val="28"/>
        </w:rPr>
        <w:t>:</w:t>
      </w:r>
      <w:r>
        <w:rPr>
          <w:rFonts w:hint="eastAsia" w:ascii="宋体" w:hAnsi="宋体"/>
          <w:sz w:val="28"/>
          <w:szCs w:val="28"/>
        </w:rPr>
        <w:t>负责</w:t>
      </w:r>
      <w:r>
        <w:rPr>
          <w:rFonts w:hint="eastAsia" w:ascii="宋体" w:hAnsi="宋体"/>
          <w:sz w:val="28"/>
          <w:szCs w:val="28"/>
          <w:lang w:eastAsia="zh-CN"/>
        </w:rPr>
        <w:t>街道</w:t>
      </w:r>
      <w:r>
        <w:rPr>
          <w:rFonts w:hint="eastAsia" w:ascii="宋体" w:hAnsi="宋体"/>
          <w:sz w:val="28"/>
          <w:szCs w:val="28"/>
        </w:rPr>
        <w:t>全面工作；负责编制本级财政预算、结算，组织预算收入和执行预算支出，负责加强</w:t>
      </w:r>
      <w:r>
        <w:rPr>
          <w:rFonts w:hint="eastAsia" w:ascii="宋体" w:hAnsi="宋体"/>
          <w:sz w:val="28"/>
          <w:szCs w:val="28"/>
          <w:lang w:eastAsia="zh-CN"/>
        </w:rPr>
        <w:t>街道所</w:t>
      </w:r>
      <w:r>
        <w:rPr>
          <w:rFonts w:hint="eastAsia" w:ascii="宋体" w:hAnsi="宋体"/>
          <w:sz w:val="28"/>
          <w:szCs w:val="28"/>
        </w:rPr>
        <w:t>属各中心（所）的财务管理和监督等。</w:t>
      </w:r>
    </w:p>
    <w:p>
      <w:pPr>
        <w:spacing w:line="540" w:lineRule="exact"/>
        <w:ind w:firstLine="555"/>
        <w:rPr>
          <w:rFonts w:ascii="宋体"/>
          <w:sz w:val="28"/>
          <w:szCs w:val="28"/>
        </w:rPr>
      </w:pPr>
      <w:r>
        <w:rPr>
          <w:rFonts w:hint="eastAsia" w:ascii="宋体" w:hAnsi="宋体" w:eastAsiaTheme="minorEastAsia" w:cstheme="minorBidi"/>
          <w:kern w:val="2"/>
          <w:sz w:val="28"/>
          <w:szCs w:val="28"/>
          <w:lang w:val="en-US" w:eastAsia="zh-CN" w:bidi="ar-SA"/>
        </w:rPr>
        <w:t>(2)</w:t>
      </w:r>
      <w:r>
        <w:rPr>
          <w:rFonts w:hint="eastAsia" w:ascii="宋体" w:hAnsi="宋体"/>
          <w:sz w:val="28"/>
          <w:szCs w:val="28"/>
        </w:rPr>
        <w:t>司法所：负责普法培训、基层法律服务、调处民间纠纷、社区矫正</w:t>
      </w:r>
      <w:r>
        <w:rPr>
          <w:rFonts w:hint="eastAsia" w:ascii="Times New Roman" w:hAnsi="Times New Roman" w:eastAsia="方正仿宋_GBK" w:cs="Times New Roman"/>
          <w:sz w:val="32"/>
          <w:szCs w:val="32"/>
          <w:lang w:eastAsia="zh-CN"/>
        </w:rPr>
        <w:t>、</w:t>
      </w:r>
      <w:r>
        <w:rPr>
          <w:rFonts w:hint="eastAsia" w:ascii="宋体" w:hAnsi="宋体"/>
          <w:sz w:val="28"/>
          <w:szCs w:val="28"/>
        </w:rPr>
        <w:t>提供法律保障、法制宣传教育</w:t>
      </w:r>
      <w:r>
        <w:rPr>
          <w:rFonts w:hint="eastAsia" w:ascii="宋体" w:hAnsi="宋体"/>
          <w:sz w:val="28"/>
          <w:szCs w:val="28"/>
          <w:lang w:eastAsia="zh-CN"/>
        </w:rPr>
        <w:t>、</w:t>
      </w:r>
      <w:r>
        <w:rPr>
          <w:rFonts w:hint="eastAsia" w:ascii="宋体" w:hAnsi="宋体"/>
          <w:sz w:val="28"/>
          <w:szCs w:val="28"/>
        </w:rPr>
        <w:t>指导管理基层法律服务工作等。</w:t>
      </w:r>
    </w:p>
    <w:p>
      <w:pPr>
        <w:spacing w:line="540" w:lineRule="exact"/>
        <w:ind w:firstLine="555"/>
        <w:rPr>
          <w:rFonts w:hint="eastAsia" w:ascii="宋体" w:hAnsi="宋体"/>
          <w:sz w:val="28"/>
          <w:szCs w:val="28"/>
        </w:rPr>
      </w:pPr>
      <w:r>
        <w:rPr>
          <w:rFonts w:hint="eastAsia" w:ascii="宋体" w:hAnsi="宋体" w:eastAsiaTheme="minorEastAsia" w:cstheme="minorBidi"/>
          <w:kern w:val="2"/>
          <w:sz w:val="28"/>
          <w:szCs w:val="28"/>
          <w:lang w:val="en-US" w:eastAsia="zh-CN" w:bidi="ar-SA"/>
        </w:rPr>
        <w:t>(3)</w:t>
      </w:r>
      <w:r>
        <w:rPr>
          <w:rFonts w:hint="eastAsia" w:ascii="宋体" w:hAnsi="宋体"/>
          <w:sz w:val="28"/>
          <w:szCs w:val="28"/>
        </w:rPr>
        <w:t>社会事务综合服务中心：主要负责劳动保障就业、最低生活保障、劳动争议调解、社会保险、农村养老保险和医疗保险等服</w:t>
      </w:r>
      <w:bookmarkStart w:id="0" w:name="_GoBack"/>
      <w:bookmarkEnd w:id="0"/>
      <w:r>
        <w:rPr>
          <w:rFonts w:hint="eastAsia" w:ascii="宋体" w:hAnsi="宋体"/>
          <w:sz w:val="28"/>
          <w:szCs w:val="28"/>
        </w:rPr>
        <w:t>务性工作；承担文化宣传、广播影视、文艺演出、群众体育、科技推广、科普培训等公益服务职责；负责网格化综合管理的事务性、辅助性工作，为网格化管理的巡查、指挥、调度、督办等工作提供技术支撑。</w:t>
      </w:r>
    </w:p>
    <w:p>
      <w:pPr>
        <w:widowControl/>
        <w:spacing w:line="600" w:lineRule="exact"/>
        <w:ind w:firstLine="560" w:firstLineChars="200"/>
        <w:rPr>
          <w:rFonts w:hint="eastAsia" w:ascii="宋体" w:hAnsi="宋体"/>
          <w:sz w:val="28"/>
          <w:szCs w:val="28"/>
        </w:rPr>
      </w:pPr>
      <w:r>
        <w:rPr>
          <w:rFonts w:hint="eastAsia" w:ascii="宋体" w:hAnsi="宋体" w:eastAsiaTheme="minorEastAsia" w:cstheme="minorBidi"/>
          <w:kern w:val="2"/>
          <w:sz w:val="28"/>
          <w:szCs w:val="28"/>
          <w:lang w:val="en-US" w:eastAsia="zh-CN" w:bidi="ar-SA"/>
        </w:rPr>
        <w:t>(</w:t>
      </w:r>
      <w:r>
        <w:rPr>
          <w:rFonts w:hint="eastAsia" w:ascii="宋体" w:hAnsi="宋体" w:cstheme="minorBidi"/>
          <w:kern w:val="2"/>
          <w:sz w:val="28"/>
          <w:szCs w:val="28"/>
          <w:lang w:val="en-US" w:eastAsia="zh-CN" w:bidi="ar-SA"/>
        </w:rPr>
        <w:t>4</w:t>
      </w:r>
      <w:r>
        <w:rPr>
          <w:rFonts w:hint="eastAsia" w:ascii="宋体" w:hAnsi="宋体" w:eastAsiaTheme="minorEastAsia" w:cstheme="minorBidi"/>
          <w:kern w:val="2"/>
          <w:sz w:val="28"/>
          <w:szCs w:val="28"/>
          <w:lang w:val="en-US" w:eastAsia="zh-CN" w:bidi="ar-SA"/>
        </w:rPr>
        <w:t>)</w:t>
      </w:r>
      <w:r>
        <w:rPr>
          <w:rFonts w:hint="eastAsia" w:ascii="宋体" w:hAnsi="宋体"/>
          <w:sz w:val="28"/>
          <w:szCs w:val="28"/>
        </w:rPr>
        <w:t>政务服务中心：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spacing w:line="600" w:lineRule="exact"/>
        <w:ind w:firstLine="560" w:firstLineChars="200"/>
        <w:rPr>
          <w:rFonts w:hint="eastAsia" w:ascii="宋体" w:hAnsi="宋体"/>
          <w:sz w:val="28"/>
          <w:szCs w:val="28"/>
        </w:rPr>
      </w:pPr>
      <w:r>
        <w:rPr>
          <w:rFonts w:hint="eastAsia" w:ascii="宋体" w:hAnsi="宋体" w:eastAsiaTheme="minorEastAsia" w:cstheme="minorBidi"/>
          <w:kern w:val="2"/>
          <w:sz w:val="28"/>
          <w:szCs w:val="28"/>
          <w:lang w:val="en-US" w:eastAsia="zh-CN" w:bidi="ar-SA"/>
        </w:rPr>
        <w:t>(</w:t>
      </w:r>
      <w:r>
        <w:rPr>
          <w:rFonts w:hint="eastAsia" w:ascii="宋体" w:hAnsi="宋体" w:cstheme="minorBidi"/>
          <w:kern w:val="2"/>
          <w:sz w:val="28"/>
          <w:szCs w:val="28"/>
          <w:lang w:val="en-US" w:eastAsia="zh-CN" w:bidi="ar-SA"/>
        </w:rPr>
        <w:t>5</w:t>
      </w:r>
      <w:r>
        <w:rPr>
          <w:rFonts w:hint="eastAsia" w:ascii="宋体" w:hAnsi="宋体" w:eastAsiaTheme="minorEastAsia" w:cstheme="minorBidi"/>
          <w:kern w:val="2"/>
          <w:sz w:val="28"/>
          <w:szCs w:val="28"/>
          <w:lang w:val="en-US" w:eastAsia="zh-CN" w:bidi="ar-SA"/>
        </w:rPr>
        <w:t>)</w:t>
      </w:r>
      <w:r>
        <w:rPr>
          <w:rFonts w:hint="eastAsia" w:ascii="宋体" w:hAnsi="宋体"/>
          <w:sz w:val="28"/>
          <w:szCs w:val="28"/>
        </w:rPr>
        <w:t>农业综合服务中心：主要负责农业、林业、水利、农业机械、畜牧兽医等基层农业技术推广，动植物疫病防控防治、护林防火、防汛抗旱、农田水利建设、农产品质量安全监测等服务性、技术性工作。</w:t>
      </w:r>
    </w:p>
    <w:p>
      <w:pPr>
        <w:spacing w:line="600" w:lineRule="exact"/>
        <w:ind w:firstLine="560" w:firstLineChars="200"/>
        <w:rPr>
          <w:rFonts w:hint="eastAsia" w:ascii="宋体" w:hAnsi="宋体"/>
          <w:sz w:val="28"/>
          <w:szCs w:val="28"/>
        </w:rPr>
      </w:pPr>
      <w:r>
        <w:rPr>
          <w:rFonts w:hint="eastAsia" w:ascii="宋体" w:hAnsi="宋体" w:eastAsiaTheme="minorEastAsia" w:cstheme="minorBidi"/>
          <w:kern w:val="2"/>
          <w:sz w:val="28"/>
          <w:szCs w:val="28"/>
          <w:lang w:val="en-US" w:eastAsia="zh-CN" w:bidi="ar-SA"/>
        </w:rPr>
        <w:t>(</w:t>
      </w:r>
      <w:r>
        <w:rPr>
          <w:rFonts w:hint="eastAsia" w:ascii="宋体" w:hAnsi="宋体" w:cstheme="minorBidi"/>
          <w:kern w:val="2"/>
          <w:sz w:val="28"/>
          <w:szCs w:val="28"/>
          <w:lang w:val="en-US" w:eastAsia="zh-CN" w:bidi="ar-SA"/>
        </w:rPr>
        <w:t>6</w:t>
      </w:r>
      <w:r>
        <w:rPr>
          <w:rFonts w:hint="eastAsia" w:ascii="宋体" w:hAnsi="宋体" w:eastAsiaTheme="minorEastAsia" w:cstheme="minorBidi"/>
          <w:kern w:val="2"/>
          <w:sz w:val="28"/>
          <w:szCs w:val="28"/>
          <w:lang w:val="en-US" w:eastAsia="zh-CN" w:bidi="ar-SA"/>
        </w:rPr>
        <w:t>)</w:t>
      </w:r>
      <w:r>
        <w:rPr>
          <w:rFonts w:hint="eastAsia" w:ascii="宋体" w:hAnsi="宋体"/>
          <w:sz w:val="28"/>
          <w:szCs w:val="28"/>
        </w:rPr>
        <w:t>综合执法大队：负责统筹协调派驻机构和本级执法力量，在辖区内开展联合执法工作。依法依规相对集中行使或会同派驻机构行使在辖区范围内的农业、文化旅游、生态环境保护、城镇管理、市场监管、交通运输等方面的行政执法权。</w:t>
      </w:r>
    </w:p>
    <w:p>
      <w:pPr>
        <w:keepNext w:val="0"/>
        <w:keepLines w:val="0"/>
        <w:pageBreakBefore w:val="0"/>
        <w:widowControl/>
        <w:shd w:val="clear" w:color="auto" w:fill="FFFFFF"/>
        <w:kinsoku/>
        <w:wordWrap/>
        <w:overflowPunct/>
        <w:topLinePunct w:val="0"/>
        <w:autoSpaceDE/>
        <w:autoSpaceDN/>
        <w:bidi w:val="0"/>
        <w:adjustRightInd/>
        <w:snapToGrid/>
        <w:spacing w:before="204" w:line="240" w:lineRule="auto"/>
        <w:ind w:firstLine="600" w:firstLineChars="200"/>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3、机构设置</w:t>
      </w:r>
    </w:p>
    <w:p>
      <w:pPr>
        <w:spacing w:line="560" w:lineRule="exact"/>
        <w:ind w:firstLine="560" w:firstLineChars="200"/>
        <w:rPr>
          <w:rFonts w:hint="eastAsia" w:ascii="宋体" w:hAnsi="宋体"/>
          <w:sz w:val="28"/>
          <w:szCs w:val="28"/>
          <w:lang w:eastAsia="zh-CN"/>
        </w:rPr>
      </w:pPr>
      <w:r>
        <w:rPr>
          <w:rFonts w:ascii="宋体" w:hAnsi="宋体"/>
          <w:sz w:val="28"/>
          <w:szCs w:val="28"/>
        </w:rPr>
        <w:t>2020</w:t>
      </w:r>
      <w:r>
        <w:rPr>
          <w:rFonts w:hint="eastAsia" w:ascii="宋体" w:hAnsi="宋体"/>
          <w:sz w:val="28"/>
          <w:szCs w:val="28"/>
        </w:rPr>
        <w:t>年</w:t>
      </w:r>
      <w:r>
        <w:rPr>
          <w:rFonts w:hint="eastAsia" w:ascii="宋体" w:hAnsi="宋体"/>
          <w:sz w:val="28"/>
          <w:szCs w:val="28"/>
          <w:lang w:eastAsia="zh-CN"/>
        </w:rPr>
        <w:t>历经铺</w:t>
      </w:r>
      <w:r>
        <w:rPr>
          <w:rFonts w:hint="eastAsia" w:ascii="宋体" w:hAnsi="宋体"/>
          <w:sz w:val="28"/>
          <w:szCs w:val="28"/>
        </w:rPr>
        <w:t>街道共辖</w:t>
      </w:r>
      <w:r>
        <w:rPr>
          <w:rFonts w:hint="eastAsia" w:ascii="宋体" w:hAnsi="宋体"/>
          <w:sz w:val="28"/>
          <w:szCs w:val="28"/>
          <w:lang w:val="en-US" w:eastAsia="zh-CN"/>
        </w:rPr>
        <w:t>9</w:t>
      </w:r>
      <w:r>
        <w:rPr>
          <w:rFonts w:hint="eastAsia" w:ascii="宋体" w:hAnsi="宋体"/>
          <w:sz w:val="28"/>
          <w:szCs w:val="28"/>
        </w:rPr>
        <w:t>个社区、</w:t>
      </w:r>
      <w:r>
        <w:rPr>
          <w:rFonts w:hint="eastAsia" w:ascii="宋体" w:hAnsi="宋体"/>
          <w:sz w:val="28"/>
          <w:szCs w:val="28"/>
          <w:lang w:val="en-US" w:eastAsia="zh-CN"/>
        </w:rPr>
        <w:t>95</w:t>
      </w:r>
      <w:r>
        <w:rPr>
          <w:rFonts w:hint="eastAsia" w:ascii="宋体" w:hAnsi="宋体"/>
          <w:sz w:val="28"/>
          <w:szCs w:val="28"/>
        </w:rPr>
        <w:t>个居民小组，街道总人口</w:t>
      </w:r>
      <w:r>
        <w:rPr>
          <w:rFonts w:hint="eastAsia" w:ascii="宋体" w:hAnsi="宋体"/>
          <w:sz w:val="28"/>
          <w:szCs w:val="28"/>
          <w:lang w:val="en-US" w:eastAsia="zh-CN"/>
        </w:rPr>
        <w:t>3.34</w:t>
      </w:r>
      <w:r>
        <w:rPr>
          <w:rFonts w:hint="eastAsia" w:ascii="宋体" w:hAnsi="宋体"/>
          <w:sz w:val="28"/>
          <w:szCs w:val="28"/>
        </w:rPr>
        <w:t>万</w:t>
      </w:r>
      <w:r>
        <w:rPr>
          <w:rFonts w:hint="eastAsia" w:ascii="宋体" w:hAnsi="宋体"/>
          <w:sz w:val="28"/>
          <w:szCs w:val="28"/>
          <w:lang w:eastAsia="zh-CN"/>
        </w:rPr>
        <w:t>人</w:t>
      </w:r>
      <w:r>
        <w:rPr>
          <w:rFonts w:hint="eastAsia" w:ascii="宋体" w:hAnsi="宋体"/>
          <w:sz w:val="28"/>
          <w:szCs w:val="28"/>
        </w:rPr>
        <w:t>，现有社区干部</w:t>
      </w:r>
      <w:r>
        <w:rPr>
          <w:rFonts w:hint="eastAsia" w:ascii="宋体" w:hAnsi="宋体"/>
          <w:sz w:val="28"/>
          <w:szCs w:val="28"/>
          <w:lang w:val="en-US" w:eastAsia="zh-CN"/>
        </w:rPr>
        <w:t>48</w:t>
      </w:r>
      <w:r>
        <w:rPr>
          <w:rFonts w:hint="eastAsia" w:ascii="宋体" w:hAnsi="宋体"/>
          <w:sz w:val="28"/>
          <w:szCs w:val="28"/>
        </w:rPr>
        <w:t>人。</w:t>
      </w:r>
      <w:r>
        <w:rPr>
          <w:rFonts w:hint="eastAsia" w:ascii="宋体" w:hAnsi="宋体"/>
          <w:sz w:val="28"/>
          <w:szCs w:val="28"/>
          <w:lang w:val="en-US" w:eastAsia="zh-CN"/>
        </w:rPr>
        <w:t>2020年末</w:t>
      </w:r>
      <w:r>
        <w:rPr>
          <w:rFonts w:hint="eastAsia" w:ascii="宋体" w:hAnsi="宋体"/>
          <w:sz w:val="28"/>
          <w:szCs w:val="28"/>
        </w:rPr>
        <w:t>街道办事处财政供养实有在职</w:t>
      </w:r>
      <w:r>
        <w:rPr>
          <w:rFonts w:hint="eastAsia" w:ascii="宋体" w:hAnsi="宋体"/>
          <w:sz w:val="28"/>
          <w:szCs w:val="28"/>
          <w:lang w:val="en-US" w:eastAsia="zh-CN"/>
        </w:rPr>
        <w:t>120</w:t>
      </w:r>
      <w:r>
        <w:rPr>
          <w:rFonts w:hint="eastAsia" w:ascii="宋体" w:hAnsi="宋体"/>
          <w:sz w:val="28"/>
          <w:szCs w:val="28"/>
        </w:rPr>
        <w:t>人，其中：行政人员</w:t>
      </w:r>
      <w:r>
        <w:rPr>
          <w:rFonts w:hint="eastAsia" w:ascii="宋体" w:hAnsi="宋体"/>
          <w:sz w:val="28"/>
          <w:szCs w:val="28"/>
          <w:lang w:val="en-US" w:eastAsia="zh-CN"/>
        </w:rPr>
        <w:t>52</w:t>
      </w:r>
      <w:r>
        <w:rPr>
          <w:rFonts w:hint="eastAsia" w:ascii="宋体" w:hAnsi="宋体"/>
          <w:sz w:val="28"/>
          <w:szCs w:val="28"/>
        </w:rPr>
        <w:t>人、全额事业人员</w:t>
      </w:r>
      <w:r>
        <w:rPr>
          <w:rFonts w:hint="eastAsia" w:ascii="宋体" w:hAnsi="宋体"/>
          <w:sz w:val="28"/>
          <w:szCs w:val="28"/>
          <w:lang w:val="en-US" w:eastAsia="zh-CN"/>
        </w:rPr>
        <w:t>39</w:t>
      </w:r>
      <w:r>
        <w:rPr>
          <w:rFonts w:hint="eastAsia" w:ascii="宋体" w:hAnsi="宋体"/>
          <w:sz w:val="28"/>
          <w:szCs w:val="28"/>
        </w:rPr>
        <w:t>人、差额事业人员</w:t>
      </w:r>
      <w:r>
        <w:rPr>
          <w:rFonts w:hint="eastAsia" w:ascii="宋体" w:hAnsi="宋体"/>
          <w:sz w:val="28"/>
          <w:szCs w:val="28"/>
          <w:lang w:val="en-US" w:eastAsia="zh-CN"/>
        </w:rPr>
        <w:t>25</w:t>
      </w:r>
      <w:r>
        <w:rPr>
          <w:rFonts w:hint="eastAsia" w:ascii="宋体" w:hAnsi="宋体"/>
          <w:sz w:val="28"/>
          <w:szCs w:val="28"/>
        </w:rPr>
        <w:t>人</w:t>
      </w:r>
      <w:r>
        <w:rPr>
          <w:rFonts w:ascii="宋体" w:hAnsi="宋体"/>
          <w:sz w:val="28"/>
          <w:szCs w:val="28"/>
        </w:rPr>
        <w:t xml:space="preserve"> </w:t>
      </w:r>
      <w:r>
        <w:rPr>
          <w:rFonts w:hint="eastAsia" w:ascii="宋体" w:hAnsi="宋体"/>
          <w:sz w:val="28"/>
          <w:szCs w:val="28"/>
        </w:rPr>
        <w:t>、自收自支事业人员</w:t>
      </w:r>
      <w:r>
        <w:rPr>
          <w:rFonts w:hint="eastAsia" w:ascii="宋体" w:hAnsi="宋体"/>
          <w:sz w:val="28"/>
          <w:szCs w:val="28"/>
          <w:lang w:val="en-US" w:eastAsia="zh-CN"/>
        </w:rPr>
        <w:t>4</w:t>
      </w:r>
      <w:r>
        <w:rPr>
          <w:rFonts w:hint="eastAsia" w:ascii="宋体" w:hAnsi="宋体"/>
          <w:sz w:val="28"/>
          <w:szCs w:val="28"/>
        </w:rPr>
        <w:t>人。离休</w:t>
      </w:r>
      <w:r>
        <w:rPr>
          <w:rFonts w:hint="eastAsia" w:ascii="宋体" w:hAnsi="宋体"/>
          <w:sz w:val="28"/>
          <w:szCs w:val="28"/>
          <w:lang w:val="en-US" w:eastAsia="zh-CN"/>
        </w:rPr>
        <w:t>0</w:t>
      </w:r>
      <w:r>
        <w:rPr>
          <w:rFonts w:hint="eastAsia" w:ascii="宋体" w:hAnsi="宋体"/>
          <w:sz w:val="28"/>
          <w:szCs w:val="28"/>
        </w:rPr>
        <w:t>人，退休</w:t>
      </w:r>
      <w:r>
        <w:rPr>
          <w:rFonts w:hint="eastAsia" w:ascii="宋体" w:hAnsi="宋体"/>
          <w:sz w:val="28"/>
          <w:szCs w:val="28"/>
          <w:lang w:val="en-US" w:eastAsia="zh-CN"/>
        </w:rPr>
        <w:t>54</w:t>
      </w:r>
      <w:r>
        <w:rPr>
          <w:rFonts w:hint="eastAsia" w:ascii="宋体" w:hAnsi="宋体"/>
          <w:sz w:val="28"/>
          <w:szCs w:val="28"/>
        </w:rPr>
        <w:t>人。遗属人员</w:t>
      </w:r>
      <w:r>
        <w:rPr>
          <w:rFonts w:hint="eastAsia" w:ascii="宋体" w:hAnsi="宋体"/>
          <w:sz w:val="28"/>
          <w:szCs w:val="28"/>
          <w:lang w:val="en-US" w:eastAsia="zh-CN"/>
        </w:rPr>
        <w:t>7</w:t>
      </w:r>
      <w:r>
        <w:rPr>
          <w:rFonts w:hint="eastAsia" w:ascii="宋体" w:hAnsi="宋体"/>
          <w:sz w:val="28"/>
          <w:szCs w:val="28"/>
        </w:rPr>
        <w:t>人</w:t>
      </w:r>
      <w:r>
        <w:rPr>
          <w:rFonts w:hint="eastAsia" w:ascii="宋体" w:hAnsi="宋体"/>
          <w:sz w:val="28"/>
          <w:szCs w:val="28"/>
          <w:lang w:eastAsia="zh-CN"/>
        </w:rPr>
        <w:t>。</w:t>
      </w:r>
    </w:p>
    <w:p>
      <w:pPr>
        <w:widowControl/>
        <w:shd w:val="clear" w:color="auto" w:fill="FFFFFF"/>
        <w:spacing w:before="204" w:line="560" w:lineRule="exact"/>
        <w:jc w:val="left"/>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（二）部门整体支出规模、使用方向和主要内容、涉及范围</w:t>
      </w:r>
    </w:p>
    <w:p>
      <w:pPr>
        <w:spacing w:line="600" w:lineRule="exact"/>
        <w:ind w:firstLine="560" w:firstLineChars="200"/>
        <w:rPr>
          <w:rFonts w:hint="eastAsia" w:ascii="宋体" w:hAnsi="宋体"/>
          <w:sz w:val="28"/>
          <w:szCs w:val="28"/>
        </w:rPr>
      </w:pPr>
      <w:r>
        <w:rPr>
          <w:rFonts w:hint="eastAsia" w:ascii="宋体" w:hAnsi="宋体"/>
          <w:sz w:val="28"/>
          <w:szCs w:val="28"/>
          <w:lang w:eastAsia="zh-CN"/>
        </w:rPr>
        <w:t>街道</w:t>
      </w:r>
      <w:r>
        <w:rPr>
          <w:rFonts w:hint="eastAsia" w:ascii="宋体" w:hAnsi="宋体"/>
          <w:sz w:val="28"/>
          <w:szCs w:val="28"/>
        </w:rPr>
        <w:t>2020年部门决算部门决算总支出</w:t>
      </w:r>
      <w:r>
        <w:rPr>
          <w:rFonts w:hint="eastAsia" w:ascii="宋体" w:hAnsi="宋体"/>
          <w:sz w:val="28"/>
          <w:szCs w:val="28"/>
          <w:lang w:val="en-US" w:eastAsia="zh-CN"/>
        </w:rPr>
        <w:t>13656.37</w:t>
      </w:r>
      <w:r>
        <w:rPr>
          <w:rFonts w:hint="eastAsia" w:ascii="宋体" w:hAnsi="宋体"/>
          <w:sz w:val="28"/>
          <w:szCs w:val="28"/>
        </w:rPr>
        <w:t>万元，其中按支出性质和经济分类：一般公共服务支出</w:t>
      </w:r>
      <w:r>
        <w:rPr>
          <w:rFonts w:hint="eastAsia" w:ascii="宋体" w:hAnsi="宋体"/>
          <w:sz w:val="28"/>
          <w:szCs w:val="28"/>
          <w:lang w:val="en-US" w:eastAsia="zh-CN"/>
        </w:rPr>
        <w:t>1044.24</w:t>
      </w:r>
      <w:r>
        <w:rPr>
          <w:rFonts w:hint="eastAsia" w:ascii="宋体" w:hAnsi="宋体"/>
          <w:sz w:val="28"/>
          <w:szCs w:val="28"/>
        </w:rPr>
        <w:t>万元、公共安全支出</w:t>
      </w:r>
      <w:r>
        <w:rPr>
          <w:rFonts w:hint="eastAsia" w:ascii="宋体" w:hAnsi="宋体"/>
          <w:sz w:val="28"/>
          <w:szCs w:val="28"/>
          <w:lang w:val="en-US" w:eastAsia="zh-CN"/>
        </w:rPr>
        <w:t>41.29</w:t>
      </w:r>
      <w:r>
        <w:rPr>
          <w:rFonts w:hint="eastAsia" w:ascii="宋体" w:hAnsi="宋体"/>
          <w:sz w:val="28"/>
          <w:szCs w:val="28"/>
        </w:rPr>
        <w:t>万元、教育支出</w:t>
      </w:r>
      <w:r>
        <w:rPr>
          <w:rFonts w:hint="eastAsia" w:ascii="宋体" w:hAnsi="宋体"/>
          <w:sz w:val="28"/>
          <w:szCs w:val="28"/>
          <w:lang w:val="en-US" w:eastAsia="zh-CN"/>
        </w:rPr>
        <w:t>273.17</w:t>
      </w:r>
      <w:r>
        <w:rPr>
          <w:rFonts w:hint="eastAsia" w:ascii="宋体" w:hAnsi="宋体"/>
          <w:sz w:val="28"/>
          <w:szCs w:val="28"/>
        </w:rPr>
        <w:t>万元，文化旅游体育与传媒支出</w:t>
      </w:r>
      <w:r>
        <w:rPr>
          <w:rFonts w:hint="eastAsia" w:ascii="宋体" w:hAnsi="宋体"/>
          <w:sz w:val="28"/>
          <w:szCs w:val="28"/>
          <w:lang w:val="en-US" w:eastAsia="zh-CN"/>
        </w:rPr>
        <w:t>19.1</w:t>
      </w:r>
      <w:r>
        <w:rPr>
          <w:rFonts w:hint="eastAsia" w:ascii="宋体" w:hAnsi="宋体"/>
          <w:sz w:val="28"/>
          <w:szCs w:val="28"/>
        </w:rPr>
        <w:t>万元、社会保障和就业支出</w:t>
      </w:r>
      <w:r>
        <w:rPr>
          <w:rFonts w:hint="eastAsia" w:ascii="宋体" w:hAnsi="宋体"/>
          <w:sz w:val="28"/>
          <w:szCs w:val="28"/>
          <w:lang w:val="en-US" w:eastAsia="zh-CN"/>
        </w:rPr>
        <w:t>455.56</w:t>
      </w:r>
      <w:r>
        <w:rPr>
          <w:rFonts w:hint="eastAsia" w:ascii="宋体" w:hAnsi="宋体"/>
          <w:sz w:val="28"/>
          <w:szCs w:val="28"/>
        </w:rPr>
        <w:t>万元、卫生健康支出</w:t>
      </w:r>
      <w:r>
        <w:rPr>
          <w:rFonts w:hint="eastAsia" w:ascii="宋体" w:hAnsi="宋体"/>
          <w:sz w:val="28"/>
          <w:szCs w:val="28"/>
          <w:lang w:val="en-US" w:eastAsia="zh-CN"/>
        </w:rPr>
        <w:t>199.49</w:t>
      </w:r>
      <w:r>
        <w:rPr>
          <w:rFonts w:hint="eastAsia" w:ascii="宋体" w:hAnsi="宋体"/>
          <w:sz w:val="28"/>
          <w:szCs w:val="28"/>
        </w:rPr>
        <w:t>万元、节能环保支出</w:t>
      </w:r>
      <w:r>
        <w:rPr>
          <w:rFonts w:hint="eastAsia" w:ascii="宋体" w:hAnsi="宋体"/>
          <w:sz w:val="28"/>
          <w:szCs w:val="28"/>
          <w:lang w:val="en-US" w:eastAsia="zh-CN"/>
        </w:rPr>
        <w:t>86</w:t>
      </w:r>
      <w:r>
        <w:rPr>
          <w:rFonts w:hint="eastAsia" w:ascii="宋体" w:hAnsi="宋体"/>
          <w:sz w:val="28"/>
          <w:szCs w:val="28"/>
        </w:rPr>
        <w:t>万元、城乡社区支出</w:t>
      </w:r>
      <w:r>
        <w:rPr>
          <w:rFonts w:hint="eastAsia" w:ascii="宋体" w:hAnsi="宋体"/>
          <w:sz w:val="28"/>
          <w:szCs w:val="28"/>
          <w:lang w:val="en-US" w:eastAsia="zh-CN"/>
        </w:rPr>
        <w:t>120</w:t>
      </w:r>
      <w:r>
        <w:rPr>
          <w:rFonts w:hint="eastAsia" w:ascii="宋体" w:hAnsi="宋体"/>
          <w:sz w:val="28"/>
          <w:szCs w:val="28"/>
        </w:rPr>
        <w:t>万元、农林水支出</w:t>
      </w:r>
      <w:r>
        <w:rPr>
          <w:rFonts w:hint="eastAsia" w:ascii="宋体" w:hAnsi="宋体"/>
          <w:sz w:val="28"/>
          <w:szCs w:val="28"/>
          <w:lang w:val="en-US" w:eastAsia="zh-CN"/>
        </w:rPr>
        <w:t>1638.89</w:t>
      </w:r>
      <w:r>
        <w:rPr>
          <w:rFonts w:hint="eastAsia" w:ascii="宋体" w:hAnsi="宋体"/>
          <w:sz w:val="28"/>
          <w:szCs w:val="28"/>
        </w:rPr>
        <w:t>万元、交通运输支出</w:t>
      </w:r>
      <w:r>
        <w:rPr>
          <w:rFonts w:hint="eastAsia" w:ascii="宋体" w:hAnsi="宋体"/>
          <w:sz w:val="28"/>
          <w:szCs w:val="28"/>
          <w:lang w:val="en-US" w:eastAsia="zh-CN"/>
        </w:rPr>
        <w:t>129.42</w:t>
      </w:r>
      <w:r>
        <w:rPr>
          <w:rFonts w:hint="eastAsia" w:ascii="宋体" w:hAnsi="宋体"/>
          <w:sz w:val="28"/>
          <w:szCs w:val="28"/>
        </w:rPr>
        <w:t>万元、资源勘探工业信息等支出</w:t>
      </w:r>
      <w:r>
        <w:rPr>
          <w:rFonts w:hint="eastAsia" w:ascii="宋体" w:hAnsi="宋体"/>
          <w:sz w:val="28"/>
          <w:szCs w:val="28"/>
          <w:lang w:val="en-US" w:eastAsia="zh-CN"/>
        </w:rPr>
        <w:t>8.58</w:t>
      </w:r>
      <w:r>
        <w:rPr>
          <w:rFonts w:hint="eastAsia" w:ascii="宋体" w:hAnsi="宋体"/>
          <w:sz w:val="28"/>
          <w:szCs w:val="28"/>
        </w:rPr>
        <w:t>万元、住房保障支出</w:t>
      </w:r>
      <w:r>
        <w:rPr>
          <w:rFonts w:hint="eastAsia" w:ascii="宋体" w:hAnsi="宋体"/>
          <w:sz w:val="28"/>
          <w:szCs w:val="28"/>
          <w:lang w:val="en-US" w:eastAsia="zh-CN"/>
        </w:rPr>
        <w:t>190.13</w:t>
      </w:r>
      <w:r>
        <w:rPr>
          <w:rFonts w:hint="eastAsia" w:ascii="宋体" w:hAnsi="宋体"/>
          <w:sz w:val="28"/>
          <w:szCs w:val="28"/>
        </w:rPr>
        <w:t>万元、灾害防治及应急管理支出</w:t>
      </w:r>
      <w:r>
        <w:rPr>
          <w:rFonts w:hint="eastAsia" w:ascii="宋体" w:hAnsi="宋体"/>
          <w:sz w:val="28"/>
          <w:szCs w:val="28"/>
          <w:lang w:val="en-US" w:eastAsia="zh-CN"/>
        </w:rPr>
        <w:t>29.7</w:t>
      </w:r>
      <w:r>
        <w:rPr>
          <w:rFonts w:hint="eastAsia" w:ascii="宋体" w:hAnsi="宋体"/>
          <w:sz w:val="28"/>
          <w:szCs w:val="28"/>
        </w:rPr>
        <w:t>万元；抗疫特别国债安排的支出</w:t>
      </w:r>
      <w:r>
        <w:rPr>
          <w:rFonts w:hint="eastAsia" w:ascii="宋体" w:hAnsi="宋体"/>
          <w:sz w:val="28"/>
          <w:szCs w:val="28"/>
          <w:lang w:val="en-US" w:eastAsia="zh-CN"/>
        </w:rPr>
        <w:t>22.6</w:t>
      </w:r>
      <w:r>
        <w:rPr>
          <w:rFonts w:hint="eastAsia" w:ascii="宋体" w:hAnsi="宋体"/>
          <w:sz w:val="28"/>
          <w:szCs w:val="28"/>
        </w:rPr>
        <w:t>万元。整个2020年收支平衡，可持续发展，财政无结余。</w:t>
      </w:r>
    </w:p>
    <w:p>
      <w:pPr>
        <w:widowControl/>
        <w:shd w:val="clear" w:color="auto" w:fill="FFFFFF"/>
        <w:spacing w:before="204" w:line="560" w:lineRule="exact"/>
        <w:jc w:val="left"/>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二、部门整体支出管理及使用情况</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（一）基本支出情况</w:t>
      </w:r>
    </w:p>
    <w:p>
      <w:pPr>
        <w:pStyle w:val="5"/>
        <w:spacing w:before="0" w:beforeAutospacing="0" w:after="0" w:afterAutospacing="0" w:line="560" w:lineRule="exact"/>
        <w:ind w:firstLine="435"/>
        <w:textAlignment w:val="center"/>
        <w:rPr>
          <w:rFonts w:hint="eastAsia" w:eastAsiaTheme="minorEastAsia" w:cstheme="minorBidi"/>
          <w:kern w:val="2"/>
          <w:sz w:val="28"/>
          <w:szCs w:val="28"/>
          <w:lang w:val="en-US" w:eastAsia="zh-CN" w:bidi="ar-SA"/>
        </w:rPr>
      </w:pPr>
      <w:r>
        <w:rPr>
          <w:rFonts w:hint="eastAsia" w:eastAsiaTheme="minorEastAsia" w:cstheme="minorBidi"/>
          <w:kern w:val="2"/>
          <w:sz w:val="28"/>
          <w:szCs w:val="28"/>
          <w:lang w:val="en-US" w:eastAsia="zh-CN" w:bidi="ar-SA"/>
        </w:rPr>
        <w:t>1、强化信息公开，接受社会监督。街道办事处严格按照市财政局的相关要求，对街道部门预算、决算及“三公”经费进行网上公开，接受社会监督。并向市财政局对口业务科室报送公开相关材料。</w:t>
      </w:r>
    </w:p>
    <w:p>
      <w:pPr>
        <w:pStyle w:val="5"/>
        <w:spacing w:before="0" w:beforeAutospacing="0" w:after="0" w:afterAutospacing="0" w:line="560" w:lineRule="exact"/>
        <w:ind w:firstLine="435"/>
        <w:textAlignment w:val="center"/>
        <w:rPr>
          <w:rFonts w:hint="eastAsia" w:eastAsiaTheme="minorEastAsia" w:cstheme="minorBidi"/>
          <w:kern w:val="2"/>
          <w:sz w:val="28"/>
          <w:szCs w:val="28"/>
          <w:lang w:val="en-US" w:eastAsia="zh-CN" w:bidi="ar-SA"/>
        </w:rPr>
      </w:pPr>
      <w:r>
        <w:rPr>
          <w:rFonts w:hint="eastAsia" w:eastAsiaTheme="minorEastAsia" w:cstheme="minorBidi"/>
          <w:kern w:val="2"/>
          <w:sz w:val="28"/>
          <w:szCs w:val="28"/>
          <w:lang w:val="en-US" w:eastAsia="zh-CN" w:bidi="ar-SA"/>
        </w:rPr>
        <w:t>2、合理使用财政资金，加强资金管理。</w:t>
      </w:r>
    </w:p>
    <w:p>
      <w:pPr>
        <w:pStyle w:val="5"/>
        <w:spacing w:before="0" w:beforeAutospacing="0" w:after="0" w:afterAutospacing="0" w:line="560" w:lineRule="exact"/>
        <w:ind w:firstLine="435"/>
        <w:textAlignment w:val="center"/>
        <w:rPr>
          <w:rFonts w:hint="eastAsia" w:ascii="宋体" w:hAnsi="宋体" w:eastAsia="宋体" w:cs="宋体"/>
          <w:b w:val="0"/>
          <w:i w:val="0"/>
          <w:caps w:val="0"/>
          <w:color w:val="333333"/>
          <w:spacing w:val="0"/>
          <w:sz w:val="24"/>
          <w:szCs w:val="24"/>
          <w:shd w:val="clear" w:fill="FFFFFF"/>
        </w:rPr>
      </w:pPr>
      <w:r>
        <w:rPr>
          <w:rFonts w:hint="eastAsia" w:eastAsiaTheme="minorEastAsia" w:cstheme="minorBidi"/>
          <w:kern w:val="2"/>
          <w:sz w:val="28"/>
          <w:szCs w:val="28"/>
          <w:lang w:val="en-US" w:eastAsia="zh-CN" w:bidi="ar-SA"/>
        </w:rPr>
        <w:t>3、严控“三公”经费支出。</w:t>
      </w:r>
    </w:p>
    <w:p>
      <w:pPr>
        <w:pStyle w:val="5"/>
        <w:spacing w:before="0" w:beforeAutospacing="0" w:after="0" w:afterAutospacing="0" w:line="560" w:lineRule="exact"/>
        <w:ind w:firstLine="435"/>
        <w:textAlignment w:val="center"/>
        <w:rPr>
          <w:rFonts w:hint="eastAsia" w:eastAsiaTheme="minorEastAsia" w:cstheme="minorBidi"/>
          <w:kern w:val="2"/>
          <w:sz w:val="28"/>
          <w:szCs w:val="28"/>
          <w:lang w:val="en-US" w:eastAsia="zh-CN" w:bidi="ar-SA"/>
        </w:rPr>
      </w:pPr>
      <w:r>
        <w:rPr>
          <w:rFonts w:hint="eastAsia" w:eastAsiaTheme="minorEastAsia" w:cstheme="minorBidi"/>
          <w:kern w:val="2"/>
          <w:sz w:val="28"/>
          <w:szCs w:val="28"/>
          <w:lang w:val="en-US" w:eastAsia="zh-CN" w:bidi="ar-SA"/>
        </w:rPr>
        <w:t>街道</w:t>
      </w:r>
      <w:r>
        <w:rPr>
          <w:rFonts w:hint="eastAsia" w:ascii="宋体" w:hAnsi="宋体" w:eastAsiaTheme="minorEastAsia" w:cstheme="minorBidi"/>
          <w:kern w:val="2"/>
          <w:sz w:val="28"/>
          <w:szCs w:val="28"/>
          <w:lang w:val="en-US" w:eastAsia="zh-CN" w:bidi="ar-SA"/>
        </w:rPr>
        <w:t>2020年决算基本支出</w:t>
      </w:r>
      <w:r>
        <w:rPr>
          <w:rFonts w:hint="eastAsia" w:eastAsiaTheme="minorEastAsia" w:cstheme="minorBidi"/>
          <w:kern w:val="2"/>
          <w:sz w:val="28"/>
          <w:szCs w:val="28"/>
          <w:lang w:val="en-US" w:eastAsia="zh-CN" w:bidi="ar-SA"/>
        </w:rPr>
        <w:t>2108.65</w:t>
      </w:r>
      <w:r>
        <w:rPr>
          <w:rFonts w:hint="eastAsia" w:ascii="宋体" w:hAnsi="宋体" w:eastAsiaTheme="minorEastAsia" w:cstheme="minorBidi"/>
          <w:kern w:val="2"/>
          <w:sz w:val="28"/>
          <w:szCs w:val="28"/>
          <w:lang w:val="en-US" w:eastAsia="zh-CN" w:bidi="ar-SA"/>
        </w:rPr>
        <w:t>万元，其中，工资福利支出</w:t>
      </w:r>
      <w:r>
        <w:rPr>
          <w:rFonts w:hint="eastAsia" w:eastAsiaTheme="minorEastAsia" w:cstheme="minorBidi"/>
          <w:kern w:val="2"/>
          <w:sz w:val="28"/>
          <w:szCs w:val="28"/>
          <w:lang w:val="en-US" w:eastAsia="zh-CN" w:bidi="ar-SA"/>
        </w:rPr>
        <w:t>1118.75</w:t>
      </w:r>
      <w:r>
        <w:rPr>
          <w:rFonts w:hint="eastAsia" w:ascii="宋体" w:hAnsi="宋体" w:eastAsiaTheme="minorEastAsia" w:cstheme="minorBidi"/>
          <w:kern w:val="2"/>
          <w:sz w:val="28"/>
          <w:szCs w:val="28"/>
          <w:lang w:val="en-US" w:eastAsia="zh-CN" w:bidi="ar-SA"/>
        </w:rPr>
        <w:t>万元；商品和服务支出</w:t>
      </w:r>
      <w:r>
        <w:rPr>
          <w:rFonts w:hint="eastAsia" w:eastAsiaTheme="minorEastAsia" w:cstheme="minorBidi"/>
          <w:kern w:val="2"/>
          <w:sz w:val="28"/>
          <w:szCs w:val="28"/>
          <w:lang w:val="en-US" w:eastAsia="zh-CN" w:bidi="ar-SA"/>
        </w:rPr>
        <w:t>161.06</w:t>
      </w:r>
      <w:r>
        <w:rPr>
          <w:rFonts w:hint="eastAsia" w:ascii="宋体" w:hAnsi="宋体" w:eastAsiaTheme="minorEastAsia" w:cstheme="minorBidi"/>
          <w:kern w:val="2"/>
          <w:sz w:val="28"/>
          <w:szCs w:val="28"/>
          <w:lang w:val="en-US" w:eastAsia="zh-CN" w:bidi="ar-SA"/>
        </w:rPr>
        <w:t>万元；对个人和家庭的补助</w:t>
      </w:r>
      <w:r>
        <w:rPr>
          <w:rFonts w:hint="eastAsia" w:eastAsiaTheme="minorEastAsia" w:cstheme="minorBidi"/>
          <w:kern w:val="2"/>
          <w:sz w:val="28"/>
          <w:szCs w:val="28"/>
          <w:lang w:val="en-US" w:eastAsia="zh-CN" w:bidi="ar-SA"/>
        </w:rPr>
        <w:t>79.14</w:t>
      </w:r>
      <w:r>
        <w:rPr>
          <w:rFonts w:hint="eastAsia" w:ascii="宋体" w:hAnsi="宋体" w:eastAsiaTheme="minorEastAsia" w:cstheme="minorBidi"/>
          <w:kern w:val="2"/>
          <w:sz w:val="28"/>
          <w:szCs w:val="28"/>
          <w:lang w:val="en-US" w:eastAsia="zh-CN" w:bidi="ar-SA"/>
        </w:rPr>
        <w:t>万元；其他支出</w:t>
      </w:r>
      <w:r>
        <w:rPr>
          <w:rFonts w:hint="eastAsia" w:eastAsiaTheme="minorEastAsia" w:cstheme="minorBidi"/>
          <w:kern w:val="2"/>
          <w:sz w:val="28"/>
          <w:szCs w:val="28"/>
          <w:lang w:val="en-US" w:eastAsia="zh-CN" w:bidi="ar-SA"/>
        </w:rPr>
        <w:t>3.15</w:t>
      </w:r>
      <w:r>
        <w:rPr>
          <w:rFonts w:hint="eastAsia" w:ascii="宋体" w:hAnsi="宋体" w:eastAsiaTheme="minorEastAsia" w:cstheme="minorBidi"/>
          <w:kern w:val="2"/>
          <w:sz w:val="28"/>
          <w:szCs w:val="28"/>
          <w:lang w:val="en-US" w:eastAsia="zh-CN" w:bidi="ar-SA"/>
        </w:rPr>
        <w:t>万元。2020年“三公”经费决算数为</w:t>
      </w:r>
      <w:r>
        <w:rPr>
          <w:rFonts w:hint="eastAsia" w:eastAsiaTheme="minorEastAsia" w:cstheme="minorBidi"/>
          <w:kern w:val="2"/>
          <w:sz w:val="28"/>
          <w:szCs w:val="28"/>
          <w:lang w:val="en-US" w:eastAsia="zh-CN" w:bidi="ar-SA"/>
        </w:rPr>
        <w:t>9.15</w:t>
      </w:r>
      <w:r>
        <w:rPr>
          <w:rFonts w:hint="eastAsia" w:ascii="宋体" w:hAnsi="宋体" w:eastAsiaTheme="minorEastAsia" w:cstheme="minorBidi"/>
          <w:kern w:val="2"/>
          <w:sz w:val="28"/>
          <w:szCs w:val="28"/>
          <w:lang w:val="en-US" w:eastAsia="zh-CN" w:bidi="ar-SA"/>
        </w:rPr>
        <w:t>万元，其中，公务接待费</w:t>
      </w:r>
      <w:r>
        <w:rPr>
          <w:rFonts w:hint="eastAsia" w:eastAsiaTheme="minorEastAsia" w:cstheme="minorBidi"/>
          <w:kern w:val="2"/>
          <w:sz w:val="28"/>
          <w:szCs w:val="28"/>
          <w:lang w:val="en-US" w:eastAsia="zh-CN" w:bidi="ar-SA"/>
        </w:rPr>
        <w:t>5.91</w:t>
      </w:r>
      <w:r>
        <w:rPr>
          <w:rFonts w:hint="eastAsia" w:ascii="宋体" w:hAnsi="宋体" w:eastAsiaTheme="minorEastAsia" w:cstheme="minorBidi"/>
          <w:kern w:val="2"/>
          <w:sz w:val="28"/>
          <w:szCs w:val="28"/>
          <w:lang w:val="en-US" w:eastAsia="zh-CN" w:bidi="ar-SA"/>
        </w:rPr>
        <w:t>万元，公务用车购置及运行费</w:t>
      </w:r>
      <w:r>
        <w:rPr>
          <w:rFonts w:hint="eastAsia" w:eastAsiaTheme="minorEastAsia" w:cstheme="minorBidi"/>
          <w:kern w:val="2"/>
          <w:sz w:val="28"/>
          <w:szCs w:val="28"/>
          <w:lang w:val="en-US" w:eastAsia="zh-CN" w:bidi="ar-SA"/>
        </w:rPr>
        <w:t>3.24</w:t>
      </w:r>
      <w:r>
        <w:rPr>
          <w:rFonts w:hint="eastAsia" w:ascii="宋体" w:hAnsi="宋体" w:eastAsiaTheme="minorEastAsia" w:cstheme="minorBidi"/>
          <w:kern w:val="2"/>
          <w:sz w:val="28"/>
          <w:szCs w:val="28"/>
          <w:lang w:val="en-US" w:eastAsia="zh-CN" w:bidi="ar-SA"/>
        </w:rPr>
        <w:t>万元（其中，公务用车购置费0万元，公务用车运行费</w:t>
      </w:r>
      <w:r>
        <w:rPr>
          <w:rFonts w:hint="eastAsia" w:eastAsiaTheme="minorEastAsia" w:cstheme="minorBidi"/>
          <w:kern w:val="2"/>
          <w:sz w:val="28"/>
          <w:szCs w:val="28"/>
          <w:lang w:val="en-US" w:eastAsia="zh-CN" w:bidi="ar-SA"/>
        </w:rPr>
        <w:t>3.24</w:t>
      </w:r>
      <w:r>
        <w:rPr>
          <w:rFonts w:hint="eastAsia" w:ascii="宋体" w:hAnsi="宋体" w:eastAsiaTheme="minorEastAsia" w:cstheme="minorBidi"/>
          <w:kern w:val="2"/>
          <w:sz w:val="28"/>
          <w:szCs w:val="28"/>
          <w:lang w:val="en-US" w:eastAsia="zh-CN" w:bidi="ar-SA"/>
        </w:rPr>
        <w:t>万元），因公出国（境）费0万元。2020年“三公”经费决算较2019年减少</w:t>
      </w:r>
      <w:r>
        <w:rPr>
          <w:rFonts w:hint="eastAsia" w:eastAsiaTheme="minorEastAsia" w:cstheme="minorBidi"/>
          <w:kern w:val="2"/>
          <w:sz w:val="28"/>
          <w:szCs w:val="28"/>
          <w:lang w:val="en-US" w:eastAsia="zh-CN" w:bidi="ar-SA"/>
        </w:rPr>
        <w:t>3.5</w:t>
      </w:r>
      <w:r>
        <w:rPr>
          <w:rFonts w:hint="eastAsia" w:ascii="宋体" w:hAnsi="宋体" w:eastAsiaTheme="minorEastAsia" w:cstheme="minorBidi"/>
          <w:kern w:val="2"/>
          <w:sz w:val="28"/>
          <w:szCs w:val="28"/>
          <w:lang w:val="en-US" w:eastAsia="zh-CN" w:bidi="ar-SA"/>
        </w:rPr>
        <w:t>万元，主要是公务接待费用有所节减。</w:t>
      </w:r>
      <w:r>
        <w:rPr>
          <w:rFonts w:hint="eastAsia" w:eastAsiaTheme="minorEastAsia" w:cstheme="minorBidi"/>
          <w:kern w:val="2"/>
          <w:sz w:val="28"/>
          <w:szCs w:val="28"/>
          <w:lang w:val="en-US" w:eastAsia="zh-CN" w:bidi="ar-SA"/>
        </w:rPr>
        <w:t>（基本支出</w:t>
      </w:r>
      <w:r>
        <w:rPr>
          <w:rFonts w:hint="eastAsia" w:ascii="宋体" w:hAnsi="宋体" w:eastAsiaTheme="minorEastAsia" w:cstheme="minorBidi"/>
          <w:kern w:val="2"/>
          <w:sz w:val="28"/>
          <w:szCs w:val="28"/>
          <w:lang w:val="en-US" w:eastAsia="zh-CN" w:bidi="ar-SA"/>
        </w:rPr>
        <w:t>是指为保障单位机构正常运转、完成目常工作任务而发生的各项支出，包括用于基本工资、津贴补贴等人员经费以及办公费、印刷费、水电费、办公设备购置等日常公用经费。</w:t>
      </w:r>
      <w:r>
        <w:rPr>
          <w:rFonts w:hint="eastAsia" w:eastAsiaTheme="minorEastAsia" w:cstheme="minorBidi"/>
          <w:kern w:val="2"/>
          <w:sz w:val="28"/>
          <w:szCs w:val="28"/>
          <w:lang w:val="en-US" w:eastAsia="zh-CN" w:bidi="ar-SA"/>
        </w:rPr>
        <w:t>）</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（二）项目支出情况</w:t>
      </w:r>
    </w:p>
    <w:p>
      <w:pPr>
        <w:pStyle w:val="5"/>
        <w:spacing w:before="0" w:beforeAutospacing="0" w:after="0" w:afterAutospacing="0" w:line="560" w:lineRule="exact"/>
        <w:ind w:firstLine="435"/>
        <w:textAlignment w:val="center"/>
        <w:rPr>
          <w:rFonts w:hint="eastAsia" w:eastAsiaTheme="minorEastAsia" w:cstheme="minorBidi"/>
          <w:kern w:val="2"/>
          <w:sz w:val="28"/>
          <w:szCs w:val="28"/>
          <w:lang w:val="en-US" w:eastAsia="zh-CN" w:bidi="ar-SA"/>
        </w:rPr>
      </w:pPr>
      <w:r>
        <w:rPr>
          <w:rFonts w:hint="eastAsia" w:eastAsiaTheme="minorEastAsia" w:cstheme="minorBidi"/>
          <w:kern w:val="2"/>
          <w:sz w:val="28"/>
          <w:szCs w:val="28"/>
          <w:lang w:val="en-US" w:eastAsia="zh-CN" w:bidi="ar-SA"/>
        </w:rPr>
        <w:t>2020年，为保障完成特定的行政工作任务或事业发展目标，街道2020年决算项目支出11547.72万元，其中一般公共服务支出9105.49万元，主要是环境卫生整治、美丽乡村建设、乡村振兴、全域土地整治及其他一般事务性项目支出；公共安全支出18.98万元，教育支出273.17万元，主要是学校建设投入；文化体育与传媒支出19.1万元；社会保障和就业173.1万元，主要是死亡抚恤、临时救济、高龄补贴等；卫生健康支出71.63万元，主要是新冠肺炎防控支出、计划生育支出；节能环保支出375.49万元，主要是环境卫生整治、凤桥社区污水处理项目、压缩式垃圾中转站建设等；城乡社区支出1220.34万元，主要是新农村建设、小城镇建设等；农林水事务支出1799.09万元，主要是租田款、公路建设、水利建设、森林公益效益补偿、农村厕所改造、扶贫、村级一事一议项目及转移支付等；交通运输支出165.26万元，主要用于公路保洁及养护等项目；资源勘探工业信息等支出110.19万元，主要用于工业企业发展支出；商业服务业等支出1万元；住房保障支出450.89万，主要是棚户区改造、卫生院建设、夏铎铺社区幼儿园建设等；粮油物资储备支出8万元；灾害防治及应急管理支出31.31万元；其他支出39万元，主要用于偿还借款利息；抗疫特别国债安排的支出32.6万元，主要用于新冠肺炎疫情防疫工作。（项目支出是指街道各部门为履行工作职能，完成工作任务，需要发生的经常事务性的项目支出和完成特定工作任务或事业发展目标而发生的项目支出(包括通过发改部门立项安排的项目支出)）。</w:t>
      </w:r>
    </w:p>
    <w:p>
      <w:pPr>
        <w:keepNext w:val="0"/>
        <w:keepLines w:val="0"/>
        <w:pageBreakBefore w:val="0"/>
        <w:widowControl/>
        <w:shd w:val="clear" w:color="auto" w:fill="FFFFFF"/>
        <w:kinsoku/>
        <w:wordWrap/>
        <w:overflowPunct/>
        <w:topLinePunct w:val="0"/>
        <w:autoSpaceDE/>
        <w:autoSpaceDN/>
        <w:bidi w:val="0"/>
        <w:adjustRightInd/>
        <w:snapToGrid/>
        <w:spacing w:before="204" w:after="157" w:afterLines="50" w:line="560" w:lineRule="exact"/>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（三）管理制度及执行情况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jc w:val="left"/>
        <w:textAlignment w:val="auto"/>
        <w:rPr>
          <w:rFonts w:hint="default"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街道办事处根据国家相关法规的规定，结合单位实际，明确了人员分工及工作职责，建立健全了机关管理制度，实行制度管人、管事、管权。进一步完善了财务管理制度，制定了《内部财务管理控制制度》、《预算业务管理制度》、《收入支出管理总制度》、《政府采购管理相关制度》、《国有资产管理制度》等规章制度，对资金、物资进行管理和使用;严格按照财经纪律规范和使用财政资金，做到资金的使用均有完整的审批程序，并实行专人管理、</w:t>
      </w:r>
      <w:r>
        <w:rPr>
          <w:rFonts w:hint="eastAsia" w:ascii="宋体" w:hAnsi="宋体" w:cstheme="minorBidi"/>
          <w:kern w:val="2"/>
          <w:sz w:val="28"/>
          <w:szCs w:val="28"/>
          <w:lang w:val="en-US" w:eastAsia="zh-CN" w:bidi="ar-SA"/>
        </w:rPr>
        <w:t>国库支付</w:t>
      </w:r>
      <w:r>
        <w:rPr>
          <w:rFonts w:hint="eastAsia" w:ascii="宋体" w:hAnsi="宋体" w:eastAsiaTheme="minorEastAsia" w:cstheme="minorBidi"/>
          <w:kern w:val="2"/>
          <w:sz w:val="28"/>
          <w:szCs w:val="28"/>
          <w:lang w:val="en-US" w:eastAsia="zh-CN" w:bidi="ar-SA"/>
        </w:rPr>
        <w:t>核算、专款专用原则，使财政收支预算执行取到良好的实施效果。</w:t>
      </w:r>
    </w:p>
    <w:p>
      <w:pPr>
        <w:widowControl/>
        <w:numPr>
          <w:ilvl w:val="0"/>
          <w:numId w:val="1"/>
        </w:numPr>
        <w:shd w:val="clear" w:color="auto" w:fill="FFFFFF"/>
        <w:spacing w:before="204" w:line="560" w:lineRule="exact"/>
        <w:jc w:val="left"/>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部门项目组织实施情况</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204" w:line="560" w:lineRule="exact"/>
        <w:ind w:firstLine="560" w:firstLineChars="200"/>
        <w:jc w:val="left"/>
        <w:textAlignment w:val="auto"/>
        <w:rPr>
          <w:rFonts w:hint="eastAsia" w:ascii="宋体" w:hAnsi="宋体" w:eastAsia="宋体" w:cs="宋体"/>
          <w:b w:val="0"/>
          <w:i w:val="0"/>
          <w:caps w:val="0"/>
          <w:color w:val="333333"/>
          <w:spacing w:val="0"/>
          <w:sz w:val="24"/>
          <w:szCs w:val="24"/>
          <w:shd w:val="clear" w:fill="FFFFFF"/>
          <w:lang w:val="en-US" w:eastAsia="zh-CN"/>
        </w:rPr>
      </w:pPr>
      <w:r>
        <w:rPr>
          <w:rFonts w:hint="eastAsia" w:ascii="宋体" w:hAnsi="宋体" w:eastAsiaTheme="minorEastAsia" w:cstheme="minorBidi"/>
          <w:kern w:val="2"/>
          <w:sz w:val="28"/>
          <w:szCs w:val="28"/>
          <w:lang w:val="en-US" w:eastAsia="zh-CN" w:bidi="ar-SA"/>
        </w:rPr>
        <w:t>街道办事处制定了包括《工程项目管理制度》、《建设项目财务管理规则》、《建设项目成本管理规定》、《建设项目竣工财务决算管理暂行办法》等。街道建立健全街道、社区财务制度，规范项目招投标管理流程，落实政府采购政策，制定了项目管理制度、项目建设工作的领导、组织机构，项目建设工作由党政会议集体研究决定，由分管领导具体负责实施。项目招投标按照招投标管理办法进行公开招投标，实行公开、公平竞争。财政资金管理遵循专用原则，严格按照批准的项目预算执行，并按照合同约定和工程价款结算程序支付工程款。对已具备竣工验收条件的项目，及时组织验收、移交使用，及时编报竣工财务决算。同时加强对项目的监督管理，加强项目抽查巡查力度，采取事前、事中、事后相结合，日常监督和专项监督相结合的方式，对项目财务行为实施全过程监督管理，确保项目建设规范有序，社会效益及群众满意率达标。坚持保正常运转、保重点支出、保民生支出，保社区干部基本待遇稳步增长的工作原则，按月按季及时落实，全力确保社会大局稳定。财政支出继续向广大人民群众关心的民生问题和基层村级部门倾斜，较大幅度提高了财政支出用于农村基层设施建设、农村人居环境整治、社会保障、教育卫生事业。社区账务街道代理工作有条不紊，及时完成各社区财务清理和互联网公开工作，增强社区财务的透明度。</w:t>
      </w:r>
    </w:p>
    <w:p>
      <w:pPr>
        <w:widowControl/>
        <w:numPr>
          <w:ilvl w:val="0"/>
          <w:numId w:val="1"/>
        </w:numPr>
        <w:shd w:val="clear" w:color="auto" w:fill="FFFFFF"/>
        <w:spacing w:before="204" w:line="560" w:lineRule="exact"/>
        <w:jc w:val="left"/>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资产管理情况</w:t>
      </w:r>
    </w:p>
    <w:p>
      <w:pPr>
        <w:spacing w:line="560" w:lineRule="exact"/>
        <w:ind w:firstLine="630" w:firstLineChars="225"/>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t>本单位资产由街道财政所专人清查管理，统一在行政事业单位资产管理平台上录入信息，打印固定资产台账及资产条码，并将条码标志粘贴至实物明显处，各办公室也明确专人对本办公室固定资产进行登记管理，资产管理安全性和准确性已逐步提高。截至2020年年底，街道资产总额为26746466.15元，其中流动资产9627128.8元、非流动资产17119337.35（固定资产账面原值总计17072931.53元，固定资产净值13310135.26元，累计折旧3762796.27元； 在建工程1941790.24元；无形资产原值12800，无形资产净值5639.48，累计摊销7160.52元；公共基础设施原值1861772.37，公共基础设施净值1861772.37）。固定资产的具体构成情况为：</w:t>
      </w:r>
    </w:p>
    <w:p>
      <w:pPr>
        <w:spacing w:line="560" w:lineRule="exact"/>
        <w:ind w:firstLine="630" w:firstLineChars="225"/>
        <w:rPr>
          <w:rFonts w:hint="eastAsia" w:ascii="宋体" w:hAnsi="宋体" w:eastAsiaTheme="minorEastAsia" w:cstheme="minorBidi"/>
          <w:kern w:val="2"/>
          <w:sz w:val="28"/>
          <w:szCs w:val="28"/>
          <w:lang w:val="en-US" w:eastAsia="zh-CN" w:bidi="ar-SA"/>
        </w:rPr>
      </w:pPr>
    </w:p>
    <w:p>
      <w:pPr>
        <w:spacing w:line="240" w:lineRule="auto"/>
        <w:jc w:val="left"/>
        <w:rPr>
          <w:rFonts w:hint="eastAsia" w:ascii="宋体" w:hAnsi="宋体" w:eastAsiaTheme="minorEastAsia" w:cstheme="minorBidi"/>
          <w:kern w:val="2"/>
          <w:sz w:val="28"/>
          <w:szCs w:val="28"/>
          <w:lang w:val="en-US" w:eastAsia="zh-CN" w:bidi="ar-SA"/>
        </w:rPr>
      </w:pPr>
      <w:r>
        <w:rPr>
          <w:rFonts w:hint="eastAsia" w:ascii="宋体" w:hAnsi="宋体" w:eastAsiaTheme="minorEastAsia" w:cstheme="minorBidi"/>
          <w:kern w:val="2"/>
          <w:sz w:val="28"/>
          <w:szCs w:val="28"/>
          <w:lang w:val="en-US" w:eastAsia="zh-CN" w:bidi="ar-SA"/>
        </w:rPr>
        <w:drawing>
          <wp:inline distT="0" distB="0" distL="114300" distR="114300">
            <wp:extent cx="5328285" cy="2964815"/>
            <wp:effectExtent l="0" t="0" r="5715" b="6985"/>
            <wp:docPr id="2" name="图片 2" descr="微信图片_2021033114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331143647"/>
                    <pic:cNvPicPr>
                      <a:picLocks noChangeAspect="1"/>
                    </pic:cNvPicPr>
                  </pic:nvPicPr>
                  <pic:blipFill>
                    <a:blip r:embed="rId5"/>
                    <a:stretch>
                      <a:fillRect/>
                    </a:stretch>
                  </pic:blipFill>
                  <pic:spPr>
                    <a:xfrm>
                      <a:off x="0" y="0"/>
                      <a:ext cx="5328285" cy="2964815"/>
                    </a:xfrm>
                    <a:prstGeom prst="rect">
                      <a:avLst/>
                    </a:prstGeom>
                  </pic:spPr>
                </pic:pic>
              </a:graphicData>
            </a:graphic>
          </wp:inline>
        </w:drawing>
      </w:r>
    </w:p>
    <w:p>
      <w:pPr>
        <w:spacing w:line="560" w:lineRule="exact"/>
        <w:rPr>
          <w:rFonts w:hint="eastAsia" w:ascii="宋体" w:hAnsi="宋体" w:eastAsiaTheme="minorEastAsia" w:cstheme="minorBidi"/>
          <w:kern w:val="2"/>
          <w:sz w:val="28"/>
          <w:szCs w:val="28"/>
          <w:lang w:val="en-US" w:eastAsia="zh-CN" w:bidi="ar-SA"/>
        </w:rPr>
      </w:pP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313" w:afterLines="100" w:line="560" w:lineRule="exact"/>
        <w:jc w:val="left"/>
        <w:textAlignment w:val="auto"/>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五、部门整体支出绩效情况</w:t>
      </w:r>
    </w:p>
    <w:p>
      <w:pPr>
        <w:keepNext w:val="0"/>
        <w:keepLines w:val="0"/>
        <w:pageBreakBefore w:val="0"/>
        <w:widowControl/>
        <w:shd w:val="clear" w:color="auto" w:fill="FFFFFF"/>
        <w:kinsoku/>
        <w:wordWrap/>
        <w:overflowPunct/>
        <w:topLinePunct w:val="0"/>
        <w:autoSpaceDE/>
        <w:autoSpaceDN/>
        <w:bidi w:val="0"/>
        <w:adjustRightInd/>
        <w:snapToGrid/>
        <w:spacing w:before="40" w:line="560" w:lineRule="exact"/>
        <w:jc w:val="left"/>
        <w:textAlignment w:val="auto"/>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（一）经济效益分析</w:t>
      </w:r>
    </w:p>
    <w:p>
      <w:pPr>
        <w:keepNext w:val="0"/>
        <w:keepLines w:val="0"/>
        <w:pageBreakBefore w:val="0"/>
        <w:numPr>
          <w:ilvl w:val="0"/>
          <w:numId w:val="0"/>
        </w:numPr>
        <w:kinsoku/>
        <w:wordWrap/>
        <w:overflowPunct/>
        <w:topLinePunct w:val="0"/>
        <w:autoSpaceDE/>
        <w:autoSpaceDN/>
        <w:bidi w:val="0"/>
        <w:adjustRightInd/>
        <w:snapToGrid/>
        <w:spacing w:line="480" w:lineRule="auto"/>
        <w:ind w:firstLine="624" w:firstLineChars="200"/>
        <w:textAlignment w:val="auto"/>
        <w:rPr>
          <w:rFonts w:hint="eastAsia" w:ascii="仿宋_GB2312" w:hAnsi="仿宋_GB2312" w:eastAsia="仿宋_GB2312" w:cs="仿宋_GB2312"/>
          <w:b w:val="0"/>
          <w:color w:val="auto"/>
          <w:spacing w:val="-4"/>
          <w:w w:val="100"/>
          <w:sz w:val="32"/>
          <w:lang w:val="en-US" w:eastAsia="zh-CN"/>
        </w:rPr>
      </w:pPr>
      <w:r>
        <w:rPr>
          <w:rFonts w:hint="eastAsia" w:ascii="仿宋_GB2312" w:hAnsi="仿宋_GB2312" w:eastAsia="仿宋_GB2312" w:cs="仿宋_GB2312"/>
          <w:b w:val="0"/>
          <w:color w:val="auto"/>
          <w:spacing w:val="-4"/>
          <w:w w:val="100"/>
          <w:sz w:val="32"/>
          <w:lang w:val="en-US" w:eastAsia="zh-CN"/>
        </w:rPr>
        <w:t>2020年我街道办事处整体支出按照市财政局下达的预算批复，财政拨款支出主要用于保障我单位机构正常运转、完成日常工作任务以及特定工作任务或事业发展目标而发生的项目支出相关工作。对于基本支出中的工资福利支出、对个人和家庭补助支出按照实际在编人员及进度均衡支付;对于商品及服务支出(日常公用经费)按照下达的预算执行，实现内部报告审批制度，实时监控支出情况;对于项目支出的经费使用情况进行监督检查;严格遵循厉行节约的精神，按规定开支“三公”经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24" w:firstLineChars="200"/>
        <w:textAlignment w:val="auto"/>
        <w:rPr>
          <w:rFonts w:hint="eastAsia" w:ascii="仿宋_GB2312" w:hAnsi="仿宋_GB2312" w:eastAsia="仿宋_GB2312" w:cs="仿宋_GB2312"/>
          <w:b w:val="0"/>
          <w:color w:val="auto"/>
          <w:spacing w:val="-4"/>
          <w:w w:val="100"/>
          <w:sz w:val="32"/>
          <w:lang w:eastAsia="zh-CN"/>
        </w:rPr>
      </w:pPr>
      <w:r>
        <w:rPr>
          <w:rFonts w:hint="eastAsia" w:ascii="仿宋_GB2312" w:hAnsi="仿宋_GB2312" w:eastAsia="仿宋_GB2312" w:cs="仿宋_GB2312"/>
          <w:b w:val="0"/>
          <w:color w:val="auto"/>
          <w:spacing w:val="-4"/>
          <w:w w:val="100"/>
          <w:sz w:val="32"/>
          <w:lang w:val="en-US" w:eastAsia="zh-CN"/>
        </w:rPr>
        <w:t>2020年以来，街道党工委、办事处在宁乡市委、市政府的正确领导下，</w:t>
      </w:r>
      <w:r>
        <w:rPr>
          <w:rFonts w:hint="eastAsia" w:ascii="仿宋_GB2312" w:hAnsi="仿宋_GB2312" w:eastAsia="仿宋_GB2312" w:cs="仿宋_GB2312"/>
          <w:color w:val="auto"/>
          <w:sz w:val="32"/>
          <w:szCs w:val="32"/>
          <w:lang w:eastAsia="zh-CN"/>
        </w:rPr>
        <w:t>坚持以</w:t>
      </w:r>
      <w:r>
        <w:rPr>
          <w:rFonts w:hint="eastAsia" w:ascii="仿宋_GB2312" w:hAnsi="仿宋_GB2312" w:eastAsia="仿宋_GB2312" w:cs="仿宋_GB2312"/>
          <w:color w:val="auto"/>
          <w:sz w:val="32"/>
          <w:szCs w:val="32"/>
        </w:rPr>
        <w:t>习近平新时代中国特色社会主义思想</w:t>
      </w:r>
      <w:r>
        <w:rPr>
          <w:rFonts w:hint="eastAsia" w:ascii="仿宋_GB2312" w:hAnsi="仿宋_GB2312" w:eastAsia="仿宋_GB2312" w:cs="仿宋_GB2312"/>
          <w:color w:val="auto"/>
          <w:sz w:val="32"/>
          <w:szCs w:val="32"/>
          <w:lang w:eastAsia="zh-CN"/>
        </w:rPr>
        <w:t>和党的十九大精神</w:t>
      </w:r>
      <w:r>
        <w:rPr>
          <w:rFonts w:hint="eastAsia" w:ascii="仿宋_GB2312" w:hAnsi="仿宋_GB2312" w:eastAsia="仿宋_GB2312" w:cs="仿宋_GB2312"/>
          <w:color w:val="auto"/>
          <w:sz w:val="32"/>
          <w:szCs w:val="32"/>
        </w:rPr>
        <w:t>为指导，</w:t>
      </w:r>
      <w:r>
        <w:rPr>
          <w:rFonts w:hint="eastAsia" w:ascii="仿宋_GB2312" w:hAnsi="仿宋_GB2312" w:eastAsia="仿宋_GB2312" w:cs="仿宋_GB2312"/>
          <w:color w:val="auto"/>
          <w:sz w:val="32"/>
          <w:szCs w:val="32"/>
          <w:lang w:eastAsia="zh-CN"/>
        </w:rPr>
        <w:t>深入贯彻落实习近平总书记关于湖南工作的重要指示和</w:t>
      </w:r>
      <w:r>
        <w:rPr>
          <w:rFonts w:hint="eastAsia" w:ascii="仿宋_GB2312" w:hAnsi="仿宋_GB2312" w:eastAsia="仿宋_GB2312" w:cs="仿宋_GB2312"/>
          <w:color w:val="auto"/>
          <w:sz w:val="32"/>
          <w:szCs w:val="32"/>
        </w:rPr>
        <w:t>省</w:t>
      </w:r>
      <w:r>
        <w:rPr>
          <w:rFonts w:hint="eastAsia" w:ascii="仿宋_GB2312" w:hAnsi="仿宋_GB2312" w:eastAsia="仿宋_GB2312" w:cs="仿宋_GB2312"/>
          <w:color w:val="auto"/>
          <w:sz w:val="32"/>
          <w:szCs w:val="32"/>
          <w:lang w:eastAsia="zh-CN"/>
        </w:rPr>
        <w:t>委、长沙</w:t>
      </w:r>
      <w:r>
        <w:rPr>
          <w:rFonts w:hint="eastAsia" w:ascii="仿宋_GB2312" w:hAnsi="仿宋_GB2312" w:eastAsia="仿宋_GB2312" w:cs="仿宋_GB2312"/>
          <w:color w:val="auto"/>
          <w:sz w:val="32"/>
          <w:szCs w:val="32"/>
        </w:rPr>
        <w:t>市委</w:t>
      </w:r>
      <w:r>
        <w:rPr>
          <w:rFonts w:hint="eastAsia" w:ascii="仿宋_GB2312" w:hAnsi="仿宋_GB2312" w:eastAsia="仿宋_GB2312" w:cs="仿宋_GB2312"/>
          <w:color w:val="auto"/>
          <w:sz w:val="32"/>
          <w:szCs w:val="32"/>
          <w:lang w:eastAsia="zh-CN"/>
        </w:rPr>
        <w:t>、宁乡市委和</w:t>
      </w:r>
      <w:r>
        <w:rPr>
          <w:rFonts w:hint="eastAsia" w:ascii="仿宋_GB2312" w:hAnsi="仿宋_GB2312" w:eastAsia="仿宋_GB2312" w:cs="仿宋_GB2312"/>
          <w:color w:val="auto"/>
          <w:sz w:val="32"/>
          <w:szCs w:val="32"/>
        </w:rPr>
        <w:t>政府</w:t>
      </w:r>
      <w:r>
        <w:rPr>
          <w:rFonts w:hint="eastAsia" w:ascii="仿宋_GB2312" w:hAnsi="仿宋_GB2312" w:eastAsia="仿宋_GB2312" w:cs="仿宋_GB2312"/>
          <w:color w:val="auto"/>
          <w:sz w:val="32"/>
          <w:szCs w:val="32"/>
          <w:lang w:eastAsia="zh-CN"/>
        </w:rPr>
        <w:t>文件会议</w:t>
      </w:r>
      <w:r>
        <w:rPr>
          <w:rFonts w:hint="eastAsia" w:ascii="仿宋_GB2312" w:hAnsi="仿宋_GB2312" w:eastAsia="仿宋_GB2312" w:cs="仿宋_GB2312"/>
          <w:color w:val="auto"/>
          <w:sz w:val="32"/>
          <w:szCs w:val="32"/>
        </w:rPr>
        <w:t>精神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color w:val="auto"/>
          <w:spacing w:val="-4"/>
          <w:w w:val="100"/>
          <w:sz w:val="32"/>
          <w:lang w:val="en-US" w:eastAsia="zh-CN"/>
        </w:rPr>
        <w:t>坚持</w:t>
      </w:r>
      <w:r>
        <w:rPr>
          <w:rFonts w:hint="eastAsia" w:ascii="仿宋_GB2312" w:hAnsi="仿宋_GB2312" w:eastAsia="仿宋_GB2312" w:cs="仿宋_GB2312"/>
          <w:b w:val="0"/>
          <w:color w:val="auto"/>
          <w:spacing w:val="-4"/>
          <w:w w:val="100"/>
          <w:sz w:val="32"/>
          <w:lang w:eastAsia="zh-CN"/>
        </w:rPr>
        <w:t>以党建引领为抓手，全力推动经济发展、聚力谋求乡村振兴、致力办好民生实事、着力维护社会稳定，奋力担当城市发展先锋，为全面决胜小康社会打下了扎实基础。</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全年地方一般公共预算收入实现1.5536亿元，完成进度排四街道第一；规模工业产值实现15亿元；固定资产投资实现36.2亿元，社会零售品销售总额实现23.5亿元，均超额完成全年目标任务。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0" w:afterAutospacing="0" w:line="240" w:lineRule="auto"/>
        <w:ind w:left="0" w:right="0" w:firstLine="0"/>
        <w:jc w:val="both"/>
        <w:textAlignment w:val="center"/>
        <w:rPr>
          <w:rFonts w:hint="eastAsia" w:ascii="仿宋" w:hAnsi="仿宋" w:eastAsia="仿宋" w:cs="宋体"/>
          <w:color w:val="010101"/>
          <w:kern w:val="0"/>
          <w:sz w:val="30"/>
          <w:szCs w:val="30"/>
          <w:lang w:val="en-US" w:eastAsia="zh-CN"/>
        </w:rPr>
      </w:pPr>
      <w:r>
        <w:rPr>
          <w:rFonts w:hint="eastAsia" w:ascii="仿宋" w:hAnsi="仿宋" w:eastAsia="仿宋" w:cs="宋体"/>
          <w:color w:val="010101"/>
          <w:kern w:val="0"/>
          <w:sz w:val="30"/>
          <w:szCs w:val="30"/>
          <w:lang w:val="en-US" w:eastAsia="zh-CN"/>
        </w:rPr>
        <w:t>　（二）社会效率分析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val="en-US" w:eastAsia="zh-CN"/>
        </w:rPr>
        <w:t>一是党建引领全面加强，“五化”建设更加规范，引领作用更加明显，</w:t>
      </w:r>
      <w:r>
        <w:rPr>
          <w:rFonts w:hint="eastAsia" w:ascii="仿宋_GB2312" w:hAnsi="仿宋_GB2312" w:eastAsia="仿宋_GB2312" w:cs="仿宋_GB2312"/>
          <w:sz w:val="32"/>
          <w:szCs w:val="32"/>
          <w:lang w:eastAsia="zh-CN"/>
        </w:rPr>
        <w:t>基层党建年度考核为一等。</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2020年街道</w:t>
      </w:r>
      <w:r>
        <w:rPr>
          <w:rFonts w:hint="eastAsia" w:ascii="仿宋_GB2312" w:hAnsi="仿宋_GB2312" w:eastAsia="仿宋_GB2312" w:cs="仿宋_GB2312"/>
          <w:kern w:val="2"/>
          <w:sz w:val="32"/>
          <w:szCs w:val="32"/>
          <w:lang w:val="en-US" w:eastAsia="zh-CN" w:bidi="ar-SA"/>
        </w:rPr>
        <w:t>新建小区党支部4个，创建“五星社区党组织”2个，打造“五化”示范化党支部2个，党建示范点1个。东城郦都小区党支部牵头建立宁乡第一家人民调解委员会驻小区调解室，为提升小区治理水平作出有效探索。沙河市场商圈党总支从“六大服务包”入手强化服务创新，促进了市场持续健康发展。</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color w:val="auto"/>
          <w:sz w:val="32"/>
          <w:szCs w:val="32"/>
          <w:lang w:val="en-US" w:eastAsia="zh-CN"/>
        </w:rPr>
        <w:t>二是</w:t>
      </w:r>
      <w:r>
        <w:rPr>
          <w:rFonts w:hint="eastAsia" w:ascii="仿宋_GB2312" w:hAnsi="仿宋_GB2312" w:eastAsia="仿宋_GB2312" w:cs="仿宋_GB2312"/>
          <w:kern w:val="2"/>
          <w:sz w:val="32"/>
          <w:szCs w:val="32"/>
          <w:lang w:val="en-US" w:eastAsia="zh-CN" w:bidi="ar-SA"/>
        </w:rPr>
        <w:t>市容环境不断优化，城市秩序更加规范，人居环境治理有序，污染防治更加有力。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kern w:val="2"/>
          <w:sz w:val="32"/>
          <w:szCs w:val="32"/>
          <w:lang w:val="en-US" w:eastAsia="zh-CN" w:bidi="ar-SA"/>
        </w:rPr>
        <w:t>1、2020年街道对标</w:t>
      </w:r>
      <w:r>
        <w:rPr>
          <w:rFonts w:hint="eastAsia" w:ascii="仿宋_GB2312" w:hAnsi="仿宋_GB2312" w:eastAsia="仿宋_GB2312" w:cs="仿宋_GB2312"/>
          <w:color w:val="auto"/>
          <w:sz w:val="32"/>
          <w:szCs w:val="32"/>
        </w:rPr>
        <w:t>全国文明城市测评体系，突出</w:t>
      </w:r>
      <w:r>
        <w:rPr>
          <w:rFonts w:hint="eastAsia" w:ascii="仿宋_GB2312" w:hAnsi="仿宋_GB2312" w:eastAsia="仿宋_GB2312" w:cs="仿宋_GB2312"/>
          <w:color w:val="auto"/>
          <w:sz w:val="32"/>
          <w:szCs w:val="32"/>
          <w:lang w:eastAsia="zh-CN"/>
        </w:rPr>
        <w:t>“三大</w:t>
      </w:r>
      <w:r>
        <w:rPr>
          <w:rFonts w:hint="eastAsia" w:ascii="仿宋_GB2312" w:hAnsi="仿宋_GB2312" w:eastAsia="仿宋_GB2312" w:cs="仿宋_GB2312"/>
          <w:color w:val="auto"/>
          <w:sz w:val="32"/>
          <w:szCs w:val="32"/>
        </w:rPr>
        <w:t>不文明行为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整治，</w:t>
      </w:r>
      <w:r>
        <w:rPr>
          <w:rFonts w:hint="eastAsia" w:ascii="仿宋_GB2312" w:hAnsi="仿宋_GB2312" w:eastAsia="仿宋_GB2312" w:cs="仿宋_GB2312"/>
          <w:color w:val="auto"/>
          <w:sz w:val="32"/>
          <w:szCs w:val="32"/>
          <w:lang w:eastAsia="zh-CN"/>
        </w:rPr>
        <w:t>组织</w:t>
      </w:r>
      <w:r>
        <w:rPr>
          <w:rFonts w:hint="eastAsia" w:ascii="仿宋_GB2312" w:hAnsi="仿宋_GB2312" w:eastAsia="仿宋_GB2312" w:cs="仿宋_GB2312"/>
          <w:sz w:val="32"/>
          <w:szCs w:val="32"/>
          <w:lang w:eastAsia="zh-CN"/>
        </w:rPr>
        <w:t>发动</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600多</w:t>
      </w:r>
      <w:r>
        <w:rPr>
          <w:rFonts w:hint="eastAsia" w:ascii="仿宋_GB2312" w:hAnsi="仿宋_GB2312" w:eastAsia="仿宋_GB2312" w:cs="仿宋_GB2312"/>
          <w:sz w:val="32"/>
          <w:szCs w:val="32"/>
          <w:lang w:eastAsia="zh-CN"/>
        </w:rPr>
        <w:t>人次</w:t>
      </w:r>
      <w:r>
        <w:rPr>
          <w:rFonts w:hint="eastAsia" w:ascii="仿宋_GB2312" w:hAnsi="仿宋_GB2312" w:eastAsia="仿宋_GB2312" w:cs="仿宋_GB2312"/>
          <w:sz w:val="32"/>
          <w:szCs w:val="32"/>
        </w:rPr>
        <w:t>党员群众积极参与志愿服务</w:t>
      </w:r>
      <w:r>
        <w:rPr>
          <w:rFonts w:hint="eastAsia" w:ascii="仿宋_GB2312" w:hAnsi="仿宋_GB2312" w:eastAsia="仿宋_GB2312" w:cs="仿宋_GB2312"/>
          <w:sz w:val="32"/>
          <w:szCs w:val="32"/>
          <w:lang w:eastAsia="zh-CN"/>
        </w:rPr>
        <w:t>，开展文明劝导，</w:t>
      </w:r>
      <w:r>
        <w:rPr>
          <w:rFonts w:hint="eastAsia" w:ascii="仿宋_GB2312" w:hAnsi="仿宋_GB2312" w:eastAsia="仿宋_GB2312" w:cs="仿宋_GB2312"/>
          <w:color w:val="auto"/>
          <w:sz w:val="32"/>
          <w:szCs w:val="32"/>
        </w:rPr>
        <w:t>深入推进更高水准的文明城市建设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投入</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eastAsia="zh-CN"/>
        </w:rPr>
        <w:t>余</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对城区基础设施</w:t>
      </w:r>
      <w:r>
        <w:rPr>
          <w:rFonts w:hint="eastAsia" w:ascii="仿宋_GB2312" w:hAnsi="仿宋_GB2312" w:eastAsia="仿宋_GB2312" w:cs="仿宋_GB2312"/>
          <w:sz w:val="32"/>
          <w:szCs w:val="32"/>
        </w:rPr>
        <w:t>提质改造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解决群众</w:t>
      </w:r>
      <w:r>
        <w:rPr>
          <w:rFonts w:hint="eastAsia" w:ascii="仿宋_GB2312" w:hAnsi="仿宋_GB2312" w:eastAsia="仿宋_GB2312" w:cs="仿宋_GB2312"/>
          <w:sz w:val="32"/>
          <w:szCs w:val="32"/>
          <w:lang w:eastAsia="zh-CN"/>
        </w:rPr>
        <w:t>关切关注</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问题</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6个</w:t>
      </w:r>
      <w:r>
        <w:rPr>
          <w:rFonts w:hint="eastAsia" w:ascii="仿宋_GB2312" w:hAnsi="仿宋_GB2312" w:eastAsia="仿宋_GB2312" w:cs="仿宋_GB2312"/>
          <w:sz w:val="32"/>
          <w:szCs w:val="32"/>
          <w:lang w:eastAsia="zh-CN"/>
        </w:rPr>
        <w:t>；规范</w:t>
      </w:r>
      <w:r>
        <w:rPr>
          <w:rFonts w:hint="eastAsia" w:ascii="仿宋_GB2312" w:hAnsi="仿宋_GB2312" w:eastAsia="仿宋_GB2312" w:cs="仿宋_GB2312"/>
          <w:color w:val="auto"/>
          <w:sz w:val="32"/>
          <w:szCs w:val="32"/>
          <w:lang w:eastAsia="zh-CN"/>
        </w:rPr>
        <w:t>新建</w:t>
      </w:r>
      <w:r>
        <w:rPr>
          <w:rFonts w:hint="eastAsia" w:ascii="仿宋_GB2312" w:hAnsi="仿宋_GB2312" w:eastAsia="仿宋_GB2312" w:cs="仿宋_GB2312"/>
          <w:color w:val="auto"/>
          <w:sz w:val="32"/>
          <w:szCs w:val="32"/>
          <w:lang w:val="en-US" w:eastAsia="zh-CN"/>
        </w:rPr>
        <w:t>停车场7个、增设3</w:t>
      </w:r>
      <w:r>
        <w:rPr>
          <w:rFonts w:hint="eastAsia" w:ascii="仿宋_GB2312" w:hAnsi="仿宋_GB2312" w:eastAsia="仿宋_GB2312" w:cs="仿宋_GB2312"/>
          <w:color w:val="auto"/>
          <w:sz w:val="32"/>
          <w:szCs w:val="32"/>
          <w:lang w:eastAsia="zh-CN"/>
        </w:rPr>
        <w:t>00多个停车位，有效缓解停车难问题；</w:t>
      </w:r>
      <w:r>
        <w:rPr>
          <w:rFonts w:hint="eastAsia" w:ascii="仿宋_GB2312" w:hAnsi="仿宋_GB2312" w:eastAsia="仿宋_GB2312" w:cs="仿宋_GB2312"/>
          <w:b w:val="0"/>
          <w:bCs/>
          <w:color w:val="auto"/>
          <w:sz w:val="32"/>
          <w:szCs w:val="32"/>
          <w:lang w:val="en-US" w:eastAsia="zh-CN"/>
        </w:rPr>
        <w:t>推广</w:t>
      </w:r>
      <w:r>
        <w:rPr>
          <w:rFonts w:hint="eastAsia" w:ascii="仿宋_GB2312" w:hAnsi="仿宋_GB2312" w:eastAsia="仿宋_GB2312" w:cs="仿宋_GB2312"/>
          <w:b w:val="0"/>
          <w:bCs/>
          <w:color w:val="auto"/>
          <w:sz w:val="32"/>
          <w:szCs w:val="32"/>
          <w:lang w:val="en-US"/>
        </w:rPr>
        <w:t>以沙河市场党群服务中心为平台的新的商圈党支部管理模式</w:t>
      </w:r>
      <w:r>
        <w:rPr>
          <w:rFonts w:hint="eastAsia" w:ascii="仿宋_GB2312" w:hAnsi="仿宋_GB2312" w:eastAsia="仿宋_GB2312" w:cs="仿宋_GB2312"/>
          <w:b w:val="0"/>
          <w:bCs/>
          <w:color w:val="auto"/>
          <w:sz w:val="32"/>
          <w:szCs w:val="32"/>
          <w:lang w:val="en-US" w:eastAsia="zh-CN"/>
        </w:rPr>
        <w:t>，重点</w:t>
      </w:r>
      <w:r>
        <w:rPr>
          <w:rFonts w:hint="eastAsia" w:ascii="仿宋_GB2312" w:hAnsi="仿宋_GB2312" w:eastAsia="仿宋_GB2312" w:cs="仿宋_GB2312"/>
          <w:b w:val="0"/>
          <w:bCs/>
          <w:color w:val="auto"/>
          <w:sz w:val="32"/>
          <w:szCs w:val="32"/>
          <w:lang w:val="en-US"/>
        </w:rPr>
        <w:t>强化</w:t>
      </w:r>
      <w:r>
        <w:rPr>
          <w:rFonts w:hint="eastAsia" w:ascii="仿宋_GB2312" w:hAnsi="仿宋_GB2312" w:eastAsia="仿宋_GB2312" w:cs="仿宋_GB2312"/>
          <w:b w:val="0"/>
          <w:bCs/>
          <w:color w:val="auto"/>
          <w:sz w:val="32"/>
          <w:szCs w:val="32"/>
          <w:lang w:val="en-US" w:eastAsia="zh-CN"/>
        </w:rPr>
        <w:t>对沙河</w:t>
      </w:r>
      <w:r>
        <w:rPr>
          <w:rFonts w:hint="eastAsia" w:ascii="仿宋_GB2312" w:hAnsi="仿宋_GB2312" w:eastAsia="仿宋_GB2312" w:cs="仿宋_GB2312"/>
          <w:b w:val="0"/>
          <w:bCs/>
          <w:color w:val="auto"/>
          <w:sz w:val="32"/>
          <w:szCs w:val="32"/>
          <w:lang w:val="en-US"/>
        </w:rPr>
        <w:t>市场</w:t>
      </w:r>
      <w:r>
        <w:rPr>
          <w:rFonts w:hint="eastAsia" w:ascii="仿宋_GB2312" w:hAnsi="仿宋_GB2312" w:eastAsia="仿宋_GB2312" w:cs="仿宋_GB2312"/>
          <w:b w:val="0"/>
          <w:bCs/>
          <w:color w:val="auto"/>
          <w:sz w:val="32"/>
          <w:szCs w:val="32"/>
          <w:lang w:val="en-US" w:eastAsia="zh-CN"/>
        </w:rPr>
        <w:t>和农贸市场</w:t>
      </w:r>
      <w:r>
        <w:rPr>
          <w:rFonts w:hint="eastAsia" w:ascii="仿宋_GB2312" w:hAnsi="仿宋_GB2312" w:eastAsia="仿宋_GB2312" w:cs="仿宋_GB2312"/>
          <w:b w:val="0"/>
          <w:bCs/>
          <w:color w:val="auto"/>
          <w:sz w:val="32"/>
          <w:szCs w:val="32"/>
          <w:lang w:val="en-US"/>
        </w:rPr>
        <w:t>的监督管理，</w:t>
      </w:r>
      <w:r>
        <w:rPr>
          <w:rFonts w:hint="eastAsia" w:ascii="仿宋_GB2312" w:hAnsi="仿宋_GB2312" w:eastAsia="仿宋_GB2312" w:cs="仿宋_GB2312"/>
          <w:color w:val="auto"/>
          <w:sz w:val="32"/>
          <w:szCs w:val="32"/>
        </w:rPr>
        <w:t>整治门店店外经营</w:t>
      </w:r>
      <w:r>
        <w:rPr>
          <w:rFonts w:hint="eastAsia" w:ascii="仿宋_GB2312" w:hAnsi="仿宋_GB2312" w:eastAsia="仿宋_GB2312" w:cs="仿宋_GB2312"/>
          <w:color w:val="auto"/>
          <w:sz w:val="32"/>
          <w:szCs w:val="32"/>
          <w:lang w:eastAsia="zh-CN"/>
        </w:rPr>
        <w:t>户和</w:t>
      </w:r>
      <w:r>
        <w:rPr>
          <w:rFonts w:hint="eastAsia" w:ascii="仿宋_GB2312" w:hAnsi="仿宋_GB2312" w:eastAsia="仿宋_GB2312" w:cs="仿宋_GB2312"/>
          <w:sz w:val="32"/>
          <w:szCs w:val="32"/>
        </w:rPr>
        <w:t>流动摊贩</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0</w:t>
      </w:r>
      <w:r>
        <w:rPr>
          <w:rFonts w:hint="eastAsia" w:ascii="仿宋_GB2312" w:hAnsi="仿宋_GB2312" w:eastAsia="仿宋_GB2312" w:cs="仿宋_GB2312"/>
          <w:sz w:val="32"/>
          <w:szCs w:val="32"/>
        </w:rPr>
        <w:t>多家</w:t>
      </w:r>
      <w:r>
        <w:rPr>
          <w:rFonts w:hint="eastAsia" w:ascii="仿宋_GB2312" w:hAnsi="仿宋_GB2312" w:eastAsia="仿宋_GB2312" w:cs="仿宋_GB2312"/>
          <w:sz w:val="32"/>
          <w:szCs w:val="32"/>
          <w:lang w:eastAsia="zh-CN"/>
        </w:rPr>
        <w:t>，市场秩序更加规范，</w:t>
      </w:r>
      <w:r>
        <w:rPr>
          <w:rFonts w:hint="eastAsia" w:ascii="仿宋_GB2312" w:hAnsi="仿宋_GB2312" w:eastAsia="仿宋_GB2312" w:cs="仿宋_GB2312"/>
          <w:color w:val="auto"/>
          <w:sz w:val="32"/>
          <w:szCs w:val="32"/>
        </w:rPr>
        <w:t>深入推进</w:t>
      </w:r>
      <w:r>
        <w:rPr>
          <w:rFonts w:hint="eastAsia" w:ascii="仿宋_GB2312" w:hAnsi="仿宋_GB2312" w:eastAsia="仿宋_GB2312" w:cs="仿宋_GB2312"/>
          <w:color w:val="auto"/>
          <w:sz w:val="32"/>
          <w:szCs w:val="32"/>
          <w:lang w:eastAsia="zh-CN"/>
        </w:rPr>
        <w:t>了</w:t>
      </w:r>
      <w:r>
        <w:rPr>
          <w:rFonts w:hint="eastAsia" w:ascii="仿宋_GB2312" w:hAnsi="仿宋_GB2312" w:eastAsia="仿宋_GB2312" w:cs="仿宋_GB2312"/>
          <w:color w:val="auto"/>
          <w:sz w:val="32"/>
          <w:szCs w:val="32"/>
        </w:rPr>
        <w:t>更高</w:t>
      </w:r>
      <w:r>
        <w:rPr>
          <w:rFonts w:hint="eastAsia" w:ascii="仿宋_GB2312" w:hAnsi="仿宋_GB2312" w:eastAsia="仿宋_GB2312" w:cs="仿宋_GB2312"/>
          <w:color w:val="auto"/>
          <w:spacing w:val="-6"/>
          <w:sz w:val="32"/>
          <w:szCs w:val="32"/>
        </w:rPr>
        <w:t>水准的文明城市建设</w:t>
      </w:r>
      <w:r>
        <w:rPr>
          <w:rFonts w:hint="eastAsia" w:ascii="仿宋_GB2312" w:hAnsi="仿宋_GB2312" w:eastAsia="仿宋_GB2312" w:cs="仿宋_GB2312"/>
          <w:color w:val="auto"/>
          <w:spacing w:val="-6"/>
          <w:sz w:val="32"/>
          <w:szCs w:val="32"/>
          <w:lang w:eastAsia="zh-CN"/>
        </w:rPr>
        <w:t>，</w:t>
      </w:r>
      <w:r>
        <w:rPr>
          <w:rFonts w:hint="eastAsia" w:ascii="仿宋_GB2312" w:hAnsi="仿宋_GB2312" w:eastAsia="仿宋_GB2312" w:cs="仿宋_GB2312"/>
          <w:spacing w:val="-6"/>
          <w:sz w:val="32"/>
          <w:szCs w:val="32"/>
        </w:rPr>
        <w:t>为</w:t>
      </w:r>
      <w:r>
        <w:rPr>
          <w:rFonts w:hint="eastAsia" w:ascii="仿宋_GB2312" w:hAnsi="仿宋_GB2312" w:eastAsia="仿宋_GB2312" w:cs="仿宋_GB2312"/>
          <w:spacing w:val="-6"/>
          <w:sz w:val="32"/>
          <w:szCs w:val="32"/>
          <w:lang w:eastAsia="zh-CN"/>
        </w:rPr>
        <w:t>成功创建全国文明城市</w:t>
      </w:r>
      <w:r>
        <w:rPr>
          <w:rFonts w:hint="eastAsia" w:ascii="仿宋_GB2312" w:hAnsi="仿宋_GB2312" w:eastAsia="仿宋_GB2312" w:cs="仿宋_GB2312"/>
          <w:spacing w:val="-6"/>
          <w:sz w:val="32"/>
          <w:szCs w:val="32"/>
        </w:rPr>
        <w:t>打下了良好基础。</w:t>
      </w:r>
    </w:p>
    <w:p>
      <w:pPr>
        <w:keepNext w:val="0"/>
        <w:keepLines w:val="0"/>
        <w:pageBreakBefore w:val="0"/>
        <w:widowControl w:val="0"/>
        <w:numPr>
          <w:ilvl w:val="0"/>
          <w:numId w:val="2"/>
        </w:numPr>
        <w:kinsoku/>
        <w:wordWrap/>
        <w:overflowPunct/>
        <w:topLinePunct w:val="0"/>
        <w:autoSpaceDE/>
        <w:autoSpaceDN/>
        <w:bidi w:val="0"/>
        <w:adjustRightInd/>
        <w:snapToGrid/>
        <w:spacing w:line="480" w:lineRule="auto"/>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全面开展街道人居环境整治行动，组织各社区党员干部和志愿者集中开展背街小巷清整30余次，清理堆物600多处，拆除各类广告招牌200多块，清理“牛皮癣”3000多处，共拆除违建20处6000多平米；各社区和环卫公司共动用各类装备2300余台次、清除各类垃圾4000余吨；改厕工作按要求已经全部整改落实到位，顺利通过市级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pacing w:val="0"/>
          <w:sz w:val="32"/>
          <w:szCs w:val="32"/>
          <w:lang w:eastAsia="zh-CN"/>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今年共接收环保投诉6起，主要涉及黑臭水体、油漆气味和噪音扰民，现已全部处理到位。定期对大湾岭工业园内企业进行检查，限期对问题进行整改，污染源得到有效治理。通过上门劝导，下达整改通知等方式，对街道内100多家餐饮门店油烟机出口外墙油污进行清洗，对不符合环保要求的大型门店下达整改通知，环境污染得到有效治理。获评“长沙市第二届全国污染源普查先进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w:t>
      </w:r>
      <w:r>
        <w:rPr>
          <w:rFonts w:hint="eastAsia" w:ascii="仿宋_GB2312" w:hAnsi="仿宋_GB2312" w:eastAsia="仿宋_GB2312" w:cs="仿宋_GB2312"/>
          <w:color w:val="auto"/>
          <w:sz w:val="32"/>
          <w:szCs w:val="32"/>
          <w:lang w:eastAsia="zh-CN"/>
        </w:rPr>
        <w:t>民生福祉逐步改善，</w:t>
      </w:r>
      <w:r>
        <w:rPr>
          <w:rFonts w:hint="eastAsia" w:ascii="仿宋_GB2312" w:hAnsi="仿宋_GB2312" w:eastAsia="仿宋_GB2312" w:cs="仿宋_GB2312"/>
          <w:color w:val="auto"/>
          <w:sz w:val="32"/>
          <w:szCs w:val="32"/>
          <w:lang w:val="en-US" w:eastAsia="zh-CN"/>
        </w:rPr>
        <w:t>着力办好了民生实事</w:t>
      </w:r>
    </w:p>
    <w:p>
      <w:pPr>
        <w:pStyle w:val="2"/>
        <w:keepNext w:val="0"/>
        <w:keepLines w:val="0"/>
        <w:pageBreakBefore w:val="0"/>
        <w:widowControl w:val="0"/>
        <w:numPr>
          <w:ilvl w:val="0"/>
          <w:numId w:val="3"/>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以创建一流政务服务中心为目标，采取切实有力的措施推进政务服务中心标准化建设。政务服务系统办件总量4786件，社保参保缴费率排名全市第三。12345工单办件签收241件，满意率96%。</w:t>
      </w:r>
    </w:p>
    <w:p>
      <w:pPr>
        <w:pStyle w:val="2"/>
        <w:keepNext w:val="0"/>
        <w:keepLines w:val="0"/>
        <w:pageBreakBefore w:val="0"/>
        <w:widowControl w:val="0"/>
        <w:numPr>
          <w:ilvl w:val="0"/>
          <w:numId w:val="3"/>
        </w:numPr>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高标准打赢疫情防控阻击战，疫情期间，按照属地管理的原则，高标准落实市防控指挥部的各号调度令，将机关干职工和社区干部全部落到网格中，对95个村民小组、9个小区共9140户和门店、项目工地、企业2168家进行地毯式摸排，对湖北、武汉返宁人员落实“六包一”管控措施，在整个疫情期间做到了无漏管、措施不到位情况发生，有效保证了人民群众生命和健康安全。</w:t>
      </w:r>
    </w:p>
    <w:p>
      <w:pPr>
        <w:pStyle w:val="2"/>
        <w:keepNext w:val="0"/>
        <w:keepLines w:val="0"/>
        <w:pageBreakBefore w:val="0"/>
        <w:widowControl w:val="0"/>
        <w:numPr>
          <w:ilvl w:val="0"/>
          <w:numId w:val="3"/>
        </w:numPr>
        <w:kinsoku/>
        <w:wordWrap/>
        <w:overflowPunct/>
        <w:topLinePunct w:val="0"/>
        <w:autoSpaceDE/>
        <w:autoSpaceDN/>
        <w:bidi w:val="0"/>
        <w:adjustRightInd/>
        <w:spacing w:line="560" w:lineRule="exact"/>
        <w:ind w:firstLine="640" w:firstLineChars="200"/>
        <w:textAlignment w:val="auto"/>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聚焦全面脱贫决战决胜目标，对建档立卡贫困户、边缘户及“四类对象”开展“回头看”自查和“回头看”互查，对全街道153户建档立卡贫困户及特殊困难群体在家庭收入、“两不愁、三保障”、饮水安全等方面多次开展拉网式排查。通过结对帮扶走访、电话调查发现的51个问题，全部核实整改到位；围绕“人不住危房，危房不住人”的要求，对868户“四类对象”、贫困残疾人房屋重新进行鉴定，按照农村危房改造脱贫攻坚三年行动农户档案信息录入要求，对153户精准扶贫户现场房屋鉴定并录入核验系统。按计划支持流沙河镇码联村40余万元解决垃圾分类基础设施建设、通村公路硬化、水利设施修缮等实际困难10余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积极开展民政救助和社会扶助，妥善解决困难群众的生活需要。临时救助金、高龄补贴、基本养老服务补贴、特困人员丧葬补贴等发放工作严格按程序按要求按步骤发放到位。持续加大对医疗卫生和教育工作的支持力度。投入500余万元新建社区卫生院综合楼一栋；积极支持东城小学新建综合楼、食堂风雨球场建设，学校扩容至48个班的规模；协调推动恒大御景半岛配套学校——沩东实验小学</w:t>
      </w:r>
      <w:r>
        <w:rPr>
          <w:rFonts w:hint="eastAsia" w:ascii="仿宋_GB2312" w:hAnsi="仿宋_GB2312" w:eastAsia="仿宋_GB2312" w:cs="仿宋_GB2312"/>
          <w:b w:val="0"/>
          <w:bCs w:val="0"/>
          <w:color w:val="auto"/>
          <w:spacing w:val="-11"/>
          <w:sz w:val="32"/>
          <w:szCs w:val="32"/>
          <w:lang w:val="en-US" w:eastAsia="zh-CN"/>
        </w:rPr>
        <w:t>移交我街道，投入300余万元进行配套设施建设，新增学位2160个。</w:t>
      </w:r>
    </w:p>
    <w:p>
      <w:pPr>
        <w:pStyle w:val="5"/>
        <w:shd w:val="clear" w:color="auto" w:fill="FFFFFF"/>
        <w:spacing w:before="0" w:beforeAutospacing="0" w:after="0" w:afterAutospacing="0" w:line="480" w:lineRule="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四是</w:t>
      </w:r>
    </w:p>
    <w:p>
      <w:pPr>
        <w:pStyle w:val="5"/>
        <w:numPr>
          <w:ilvl w:val="0"/>
          <w:numId w:val="4"/>
        </w:numPr>
        <w:shd w:val="clear" w:color="auto" w:fill="FFFFFF"/>
        <w:spacing w:before="0" w:beforeAutospacing="0" w:after="0" w:afterAutospacing="0" w:line="480" w:lineRule="auto"/>
        <w:rPr>
          <w:rFonts w:hint="eastAsia" w:eastAsia="仿宋"/>
          <w:color w:val="000000"/>
          <w:sz w:val="30"/>
          <w:szCs w:val="30"/>
        </w:rPr>
      </w:pPr>
      <w:r>
        <w:rPr>
          <w:rFonts w:hint="eastAsia" w:ascii="仿宋" w:hAnsi="仿宋" w:eastAsia="仿宋"/>
          <w:color w:val="000000"/>
          <w:sz w:val="30"/>
          <w:szCs w:val="30"/>
        </w:rPr>
        <w:t>可持续性效益分析</w:t>
      </w:r>
      <w:r>
        <w:rPr>
          <w:rFonts w:hint="eastAsia" w:eastAsia="仿宋"/>
          <w:color w:val="000000"/>
          <w:sz w:val="30"/>
          <w:szCs w:val="30"/>
        </w:rPr>
        <w:t>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1、认真执行了年初部门预算和财政政策要求。街道工作经费安排严格按照年初预算来执行，有效防止了超预算;认真学习财经法规，严格执行财经纪律，防止了违法违纪行为的发生。</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center"/>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2、保障了机关有效运转。严格按照厉行节约的要求，精打细算，规范机关事务管理工作，进一步公务用车、公务接待等方面加强集中管理，提高服务质量，降低运行成本，合理配置，提高保障能力。</w:t>
      </w:r>
    </w:p>
    <w:p>
      <w:pPr>
        <w:pStyle w:val="5"/>
        <w:numPr>
          <w:ilvl w:val="0"/>
          <w:numId w:val="0"/>
        </w:numPr>
        <w:shd w:val="clear" w:color="auto" w:fill="FFFFFF"/>
        <w:spacing w:before="0" w:beforeAutospacing="0" w:after="0" w:afterAutospacing="0" w:line="480" w:lineRule="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3、推进了专项工作落实。财政监督检查、民生资金检查、违规发放津补贴的自查等多项管理工作，确保了专项资金在使用和管理上单独核算、专款专用。</w:t>
      </w:r>
    </w:p>
    <w:p>
      <w:pPr>
        <w:pStyle w:val="5"/>
        <w:shd w:val="clear" w:color="auto" w:fill="FFFFFF"/>
        <w:spacing w:before="0" w:beforeAutospacing="0" w:after="0" w:afterAutospacing="0" w:line="480" w:lineRule="auto"/>
        <w:rPr>
          <w:rFonts w:hint="eastAsia" w:ascii="仿宋_GB2312" w:hAnsi="仿宋_GB2312" w:eastAsia="仿宋_GB2312" w:cs="仿宋_GB2312"/>
          <w:color w:val="auto"/>
          <w:kern w:val="2"/>
          <w:sz w:val="32"/>
          <w:szCs w:val="32"/>
          <w:lang w:val="en-US" w:eastAsia="zh-CN" w:bidi="ar-SA"/>
        </w:rPr>
      </w:pPr>
      <w:r>
        <w:rPr>
          <w:rFonts w:hint="eastAsia" w:ascii="仿宋" w:hAnsi="仿宋" w:eastAsia="仿宋"/>
          <w:color w:val="000000"/>
          <w:sz w:val="30"/>
          <w:szCs w:val="30"/>
        </w:rPr>
        <w:t>　　</w:t>
      </w:r>
      <w:r>
        <w:rPr>
          <w:rFonts w:hint="eastAsia" w:ascii="仿宋_GB2312" w:hAnsi="仿宋_GB2312" w:eastAsia="仿宋_GB2312" w:cs="仿宋_GB2312"/>
          <w:color w:val="auto"/>
          <w:kern w:val="2"/>
          <w:sz w:val="32"/>
          <w:szCs w:val="32"/>
          <w:lang w:val="en-US" w:eastAsia="zh-CN" w:bidi="ar-SA"/>
        </w:rPr>
        <w:t>2020年我街道较好的完成了绩效目标任务，日常管理工作均按照我单位相关管理制度执行，建立了工作有计划、实施有方案、日常有监督的管理机制，工作取得了较好的成效，效能得到了提高、获得了社会公众的好评。群众满意度指标和可持续性指标均达标。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157" w:afterLines="50" w:line="560" w:lineRule="exact"/>
        <w:jc w:val="left"/>
        <w:textAlignment w:val="auto"/>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六、存在的主要问题</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（一）绩效评价工作机制有待进一步完善，由于对绩效监控工作的重视不够，绩效监控工作容易滞后，未形成对绩效目标进行监控的习惯。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（二）单位各部门衔接不及时，预算项目的前瞻性不够和不可预计性事项的发生，无法及时监控预算绩效目标实施情况。</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（三）政府和财务部门在部门整体支出的资金安排和使用上仍有不可预见性，在实际工作中有资金延迟到位的情况。</w:t>
      </w:r>
    </w:p>
    <w:p>
      <w:pPr>
        <w:pStyle w:val="2"/>
        <w:rPr>
          <w:rFonts w:hint="eastAsia"/>
          <w:lang w:val="en-US" w:eastAsia="zh-CN"/>
        </w:rPr>
      </w:pPr>
    </w:p>
    <w:p>
      <w:pPr>
        <w:pStyle w:val="5"/>
        <w:keepNext w:val="0"/>
        <w:keepLines w:val="0"/>
        <w:pageBreakBefore w:val="0"/>
        <w:widowControl/>
        <w:numPr>
          <w:ilvl w:val="0"/>
          <w:numId w:val="4"/>
        </w:numPr>
        <w:shd w:val="clear" w:color="auto" w:fill="FFFFFF"/>
        <w:kinsoku/>
        <w:wordWrap/>
        <w:overflowPunct/>
        <w:topLinePunct w:val="0"/>
        <w:autoSpaceDE/>
        <w:autoSpaceDN/>
        <w:bidi w:val="0"/>
        <w:adjustRightInd/>
        <w:snapToGrid/>
        <w:spacing w:before="0" w:beforeAutospacing="0" w:after="0" w:afterAutospacing="0" w:line="480" w:lineRule="auto"/>
        <w:ind w:left="0" w:leftChars="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预算编制工作有待细化。预算编制不够明确和细化，预算编制的合理性需要提高。预算执行力度还要进一步加强。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after="313" w:afterLines="100" w:line="560" w:lineRule="exact"/>
        <w:jc w:val="left"/>
        <w:textAlignment w:val="auto"/>
        <w:rPr>
          <w:rFonts w:hint="eastAsia" w:ascii="仿宋" w:hAnsi="仿宋" w:eastAsia="仿宋" w:cs="宋体"/>
          <w:b/>
          <w:color w:val="010101"/>
          <w:kern w:val="0"/>
          <w:sz w:val="30"/>
          <w:szCs w:val="30"/>
          <w:lang w:val="en-US" w:eastAsia="zh-CN"/>
        </w:rPr>
      </w:pPr>
      <w:r>
        <w:rPr>
          <w:rFonts w:hint="eastAsia" w:ascii="仿宋" w:hAnsi="仿宋" w:eastAsia="仿宋" w:cs="宋体"/>
          <w:b/>
          <w:color w:val="010101"/>
          <w:kern w:val="0"/>
          <w:sz w:val="30"/>
          <w:szCs w:val="30"/>
          <w:lang w:val="en-US" w:eastAsia="zh-CN"/>
        </w:rPr>
        <w:t>七、改进措施和有关建议</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(一)制定有效绩效监控机制，确保绩效目标完成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科学设置预算绩效指标，合理安排经费和各项资金，使其物尽其用，更加贴合街道财务工作的实际情况，能够合理运用现有资源，及时协调并向上级多争取资金，保证各预算绩效指标的顺利实施。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(二)科学合理编制预算，严格执行预算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加强预算编制的前瞻性，按照新《预算法》及其实施条例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(三)加强管理，严控行政支出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严格控制“三公”经费的规模和比例，把关“三公”经费支出的审核、审批，杜绝挪用和挤占其他预算资金行为;进一步细化“三公”经费的管理，合理压缩“三公”经费支出。</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(四)强化学习培训，提高思想认识 </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right"/>
        <w:textAlignment w:val="center"/>
        <w:rPr>
          <w:rFonts w:hint="eastAsia" w:ascii="宋体" w:hAnsi="宋体" w:eastAsia="宋体" w:cs="宋体"/>
          <w:b w:val="0"/>
          <w:i w:val="0"/>
          <w:caps w:val="0"/>
          <w:color w:val="333333"/>
          <w:spacing w:val="0"/>
          <w:sz w:val="24"/>
          <w:szCs w:val="24"/>
          <w:shd w:val="clear" w:fill="FFFFFF"/>
        </w:rPr>
      </w:pP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480" w:lineRule="auto"/>
        <w:ind w:firstLine="640" w:firstLineChars="200"/>
        <w:jc w:val="right"/>
        <w:textAlignment w:val="auto"/>
        <w:rPr>
          <w:rFonts w:hint="eastAsia" w:ascii="仿宋_GB2312" w:hAnsi="仿宋_GB2312" w:eastAsia="仿宋_GB2312" w:cs="仿宋_GB2312"/>
          <w:b w:val="0"/>
          <w:bCs w:val="0"/>
          <w:color w:val="auto"/>
          <w:kern w:val="2"/>
          <w:sz w:val="32"/>
          <w:szCs w:val="32"/>
          <w:lang w:val="en-US" w:eastAsia="zh-CN" w:bidi="ar-SA"/>
        </w:rPr>
      </w:pPr>
    </w:p>
    <w:sectPr>
      <w:footerReference r:id="rId3" w:type="default"/>
      <w:pgSz w:w="11906" w:h="16838"/>
      <w:pgMar w:top="1723" w:right="1519"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0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181F4D"/>
    <w:multiLevelType w:val="singleLevel"/>
    <w:tmpl w:val="D9181F4D"/>
    <w:lvl w:ilvl="0" w:tentative="0">
      <w:start w:val="1"/>
      <w:numFmt w:val="decimal"/>
      <w:suff w:val="nothing"/>
      <w:lvlText w:val="%1、"/>
      <w:lvlJc w:val="left"/>
    </w:lvl>
  </w:abstractNum>
  <w:abstractNum w:abstractNumId="1">
    <w:nsid w:val="EA45707B"/>
    <w:multiLevelType w:val="singleLevel"/>
    <w:tmpl w:val="EA45707B"/>
    <w:lvl w:ilvl="0" w:tentative="0">
      <w:start w:val="3"/>
      <w:numFmt w:val="chineseCounting"/>
      <w:suff w:val="nothing"/>
      <w:lvlText w:val="%1、"/>
      <w:lvlJc w:val="left"/>
      <w:rPr>
        <w:rFonts w:hint="eastAsia"/>
      </w:rPr>
    </w:lvl>
  </w:abstractNum>
  <w:abstractNum w:abstractNumId="2">
    <w:nsid w:val="28FB5409"/>
    <w:multiLevelType w:val="singleLevel"/>
    <w:tmpl w:val="28FB5409"/>
    <w:lvl w:ilvl="0" w:tentative="0">
      <w:start w:val="2"/>
      <w:numFmt w:val="decimal"/>
      <w:suff w:val="nothing"/>
      <w:lvlText w:val="%1、"/>
      <w:lvlJc w:val="left"/>
    </w:lvl>
  </w:abstractNum>
  <w:abstractNum w:abstractNumId="3">
    <w:nsid w:val="37AB830F"/>
    <w:multiLevelType w:val="singleLevel"/>
    <w:tmpl w:val="37AB830F"/>
    <w:lvl w:ilvl="0" w:tentative="0">
      <w:start w:val="3"/>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C383F"/>
    <w:rsid w:val="01081EA9"/>
    <w:rsid w:val="01370C3F"/>
    <w:rsid w:val="020235E8"/>
    <w:rsid w:val="06232FEF"/>
    <w:rsid w:val="06713DC9"/>
    <w:rsid w:val="07E10256"/>
    <w:rsid w:val="084110B8"/>
    <w:rsid w:val="0863622A"/>
    <w:rsid w:val="0B66363A"/>
    <w:rsid w:val="0BA04DA5"/>
    <w:rsid w:val="10231D9E"/>
    <w:rsid w:val="15962E67"/>
    <w:rsid w:val="1A12258D"/>
    <w:rsid w:val="1BCC383F"/>
    <w:rsid w:val="1C605E00"/>
    <w:rsid w:val="1C8E04B7"/>
    <w:rsid w:val="1CAE35C2"/>
    <w:rsid w:val="1DAA071D"/>
    <w:rsid w:val="1E023FB9"/>
    <w:rsid w:val="1F8601A9"/>
    <w:rsid w:val="25B223D0"/>
    <w:rsid w:val="2B446BC1"/>
    <w:rsid w:val="2E4A2A64"/>
    <w:rsid w:val="2F2D6354"/>
    <w:rsid w:val="2FED2796"/>
    <w:rsid w:val="351F48B6"/>
    <w:rsid w:val="353A061C"/>
    <w:rsid w:val="35DC2AB9"/>
    <w:rsid w:val="3B303507"/>
    <w:rsid w:val="3DD12F6A"/>
    <w:rsid w:val="447675D0"/>
    <w:rsid w:val="46235BD6"/>
    <w:rsid w:val="46410AC5"/>
    <w:rsid w:val="47312923"/>
    <w:rsid w:val="483B7D10"/>
    <w:rsid w:val="487763EC"/>
    <w:rsid w:val="49A4473E"/>
    <w:rsid w:val="5167407C"/>
    <w:rsid w:val="519E799E"/>
    <w:rsid w:val="51F501A3"/>
    <w:rsid w:val="53C616A0"/>
    <w:rsid w:val="58C22DCA"/>
    <w:rsid w:val="5BFE5F0E"/>
    <w:rsid w:val="635E0E60"/>
    <w:rsid w:val="64691B55"/>
    <w:rsid w:val="65FB1A64"/>
    <w:rsid w:val="67152886"/>
    <w:rsid w:val="68C32F9E"/>
    <w:rsid w:val="69A16905"/>
    <w:rsid w:val="6A2B4132"/>
    <w:rsid w:val="6B044233"/>
    <w:rsid w:val="6BED700D"/>
    <w:rsid w:val="6D584E10"/>
    <w:rsid w:val="6FB102E3"/>
    <w:rsid w:val="70475642"/>
    <w:rsid w:val="72AF24E5"/>
    <w:rsid w:val="73155636"/>
    <w:rsid w:val="76194B4A"/>
    <w:rsid w:val="762A07DE"/>
    <w:rsid w:val="797B1D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hint="eastAsia"/>
      <w:sz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2021-03-31T01:09:00Z</dcterms:created>
  <dc:creator>Administrator</dc:creator>
  <cp:lastModifiedBy>Administrator</cp:lastModifiedBy>
  <cp:lastPrinted>2021-03-31T09:59:00Z</cp:lastPrinted>
  <dcterms:modified xsi:type="dcterms:W3CDTF">2021-06-30T02:52:31Z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