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jc w:val="center"/>
        <w:rPr>
          <w:rFonts w:ascii="方正小标宋简体" w:hAnsi="Times New Roman" w:eastAsia="方正小标宋简体" w:cs="Times New Roman"/>
          <w:sz w:val="44"/>
          <w:szCs w:val="44"/>
        </w:rPr>
      </w:pPr>
      <w:bookmarkStart w:id="0" w:name="_GoBack"/>
      <w:r>
        <w:rPr>
          <w:rFonts w:hint="eastAsia" w:ascii="方正小标宋简体" w:hAnsi="Times New Roman" w:eastAsia="方正小标宋简体" w:cs="Times New Roman"/>
          <w:sz w:val="44"/>
          <w:szCs w:val="44"/>
        </w:rPr>
        <w:t>2022年部门整体支出绩效自评报告</w:t>
      </w:r>
    </w:p>
    <w:bookmarkEnd w:id="0"/>
    <w:p>
      <w:pPr>
        <w:pStyle w:val="7"/>
        <w:widowControl/>
        <w:shd w:val="clear" w:color="auto" w:fill="FFFFFF"/>
        <w:spacing w:beforeAutospacing="0" w:afterAutospacing="0" w:line="576" w:lineRule="exact"/>
        <w:jc w:val="center"/>
        <w:rPr>
          <w:rFonts w:ascii="Times New Roman" w:hAnsi="Times New Roman" w:eastAsia="楷体_GB2312"/>
          <w:sz w:val="32"/>
          <w:szCs w:val="32"/>
          <w:shd w:val="clear" w:color="auto" w:fill="FFFFFF"/>
        </w:rPr>
      </w:pPr>
      <w:r>
        <w:rPr>
          <w:rFonts w:ascii="Times New Roman" w:hAnsi="Times New Roman" w:eastAsia="楷体_GB2312"/>
          <w:sz w:val="32"/>
          <w:szCs w:val="32"/>
          <w:shd w:val="clear" w:color="auto" w:fill="FFFFFF"/>
        </w:rPr>
        <w:t>——宁乡市灰汤镇人民政府</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shd w:val="clear" w:color="auto" w:fill="FFFFFF"/>
        </w:rPr>
        <w:t>根据《宁乡市财政局关于开展2022年度整体支出绩效自评和部门项目支出绩效评价工作的通知》，我单位成立了局党组书记任组长的绩效评价工作小组，对我镇2022年度部门预算整体支出绩效进行了全面综合评价。整体支出分基本支出和项目支出两部分，基本支出的评价重点是厉行节约保运转，降低行政运行成本；项目支出的评价重点是规范管理促发展，做到专款专用，提高资金使用效益。经全面综合评价，我镇2022年度部门整体支出绩效自评分为94.8分。现将自评情况汇报如下：</w:t>
      </w:r>
    </w:p>
    <w:p>
      <w:pPr>
        <w:pStyle w:val="7"/>
        <w:widowControl/>
        <w:shd w:val="clear" w:color="auto" w:fill="FFFFFF"/>
        <w:spacing w:beforeAutospacing="0" w:afterAutospacing="0" w:line="576"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一、部门概况</w:t>
      </w:r>
    </w:p>
    <w:p>
      <w:pPr>
        <w:pStyle w:val="7"/>
        <w:widowControl/>
        <w:shd w:val="clear" w:color="auto" w:fill="FFFFFF"/>
        <w:spacing w:beforeAutospacing="0" w:afterAutospacing="0" w:line="576" w:lineRule="exact"/>
        <w:ind w:firstLine="640" w:firstLineChars="200"/>
        <w:jc w:val="both"/>
        <w:rPr>
          <w:rFonts w:ascii="Times New Roman" w:hAnsi="Times New Roman" w:eastAsia="楷体_GB2312"/>
          <w:sz w:val="32"/>
          <w:szCs w:val="32"/>
          <w:shd w:val="clear" w:color="auto" w:fill="FFFFFF"/>
        </w:rPr>
      </w:pPr>
      <w:r>
        <w:rPr>
          <w:rFonts w:ascii="Times New Roman" w:hAnsi="Times New Roman" w:eastAsia="楷体_GB2312"/>
          <w:kern w:val="2"/>
          <w:sz w:val="32"/>
          <w:szCs w:val="32"/>
        </w:rPr>
        <w:t>（一）部门基本情况</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2022年末，灰汤镇人民政府在职在编177人，比上年度增加1人，主要是新录用公务员及退役军人安置，以及其他宁乡市内部分人员工作调动。其中行政人员53人，比上年减少2人，非参公事业人员124人，比上年增加3人。另有灰管局在编事业人员21人。退休106人。政府工作机构分设党政机关、司法所、农业综合服务中心、社会事业综合服务中心、政务服务中心、行政执法队。灰管局与人民政府一并办公。下辖18个村（社区），乡镇总户籍人口约11.3万人，现有村（社区）干部119人。</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政府主要职能有党的建设、纪检监察、组织人事、招商引资、重点工程建设、政务监督、文秘档案、工农统计、后勤服务、群众工作、信访维稳等。2022年重点工作计划包括用好乡村振兴资金，支持农村各项基础设施建设；做好农田抗旱和山塘清淤工作，采取有效措施进行森林防火宣传；做好“四联五到位”群众大走访，进一步密切党群干群关系；持续做好疫情防控、学校建设、景区维护等项目。</w:t>
      </w:r>
    </w:p>
    <w:p>
      <w:pPr>
        <w:pStyle w:val="7"/>
        <w:widowControl/>
        <w:shd w:val="clear" w:color="auto" w:fill="FFFFFF"/>
        <w:spacing w:beforeAutospacing="0" w:afterAutospacing="0" w:line="576"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（二）部门整体支出规模、使用方向和主要内容、涉及范围等。</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2022年财政总支出为21333万元，其中：上解支出3955万元，一般公共财政预算支出9768万元，政府性基金预算支出3791万元，特设专户支出3819万元。</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除上解支出外，部门支出执行情况按功能科目如下：一般公共服务支出4916万元，公共安全支出14万元，教育支出920万元，文化旅游体育与传媒支出79万元，社会保障和就业支出1232万元，卫生健康支出157万元，节能环保支出398万元，城乡社区支出4372万元，农林水支出4344万元，交通运输支出737万元，住房保障支出120万元，灾害防治及应急管理支出35万元，其他支出53元。</w:t>
      </w:r>
    </w:p>
    <w:p>
      <w:pPr>
        <w:pStyle w:val="7"/>
        <w:widowControl/>
        <w:shd w:val="clear" w:color="auto" w:fill="FFFFFF"/>
        <w:spacing w:beforeAutospacing="0" w:afterAutospacing="0" w:line="576"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二、部门整体支出管理及使用情况</w:t>
      </w:r>
    </w:p>
    <w:p>
      <w:pPr>
        <w:pStyle w:val="7"/>
        <w:widowControl/>
        <w:shd w:val="clear" w:color="auto" w:fill="FFFFFF"/>
        <w:spacing w:beforeAutospacing="0" w:afterAutospacing="0" w:line="576"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（一）基本支出</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2022年财政拨款基本支出4703.63万元，包括人员经费4439.50万元，公用经费264.13万元。人员经费主要用于干职工工资福利支出以及对个人和家庭补助支出。公用经费用于办公、会议、印刷、培训以及三公经费开支。</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“三公”经费支出情况。（1）因公出国（境）费无。（2）公务用车运行维护费16万元，此项经费标准为每车每年4万元，我单位实有公车4辆，其中灰汤政府名下2辆，灰管局（</w:t>
      </w:r>
      <w:r>
        <w:rPr>
          <w:rFonts w:ascii="Times New Roman" w:hAnsi="Times New Roman" w:eastAsia="楷体_GB2312"/>
          <w:shd w:val="clear" w:color="auto" w:fill="FFFFFF"/>
        </w:rPr>
        <w:t>非独立核算单位</w:t>
      </w:r>
      <w:r>
        <w:rPr>
          <w:rFonts w:ascii="Times New Roman" w:hAnsi="Times New Roman" w:eastAsia="仿宋_GB2312"/>
          <w:sz w:val="32"/>
          <w:szCs w:val="32"/>
          <w:shd w:val="clear" w:color="auto" w:fill="FFFFFF"/>
        </w:rPr>
        <w:t>）名下有2辆；2022年财政预算拨款16万元。（3）公务接待费23.91万元，比上年度减少约9.7%，主要是涉及乡村振兴的美丽屋场建设、脱贫监测等调研检查，安全生产相关的督导检查等，并且有效压减了接待费开支。</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会议费支出8.38万元，比上年度减少约63.9%，主要是召开人大会议、党代会、全镇农业和经济工作会议，并且相关会议合并召开减少了经费开支。</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培训费支出5.83万元，比上年度减少约12.1%，主要是开展党史学习教育，以及我镇负责就近片区党员集中培训。</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其他公用经费支出，均按照《灰汤局镇机关财务管理制度》执行，整体与上年度相比有所压减。</w:t>
      </w:r>
    </w:p>
    <w:p>
      <w:pPr>
        <w:pStyle w:val="7"/>
        <w:widowControl/>
        <w:shd w:val="clear" w:color="auto" w:fill="FFFFFF"/>
        <w:spacing w:beforeAutospacing="0" w:afterAutospacing="0" w:line="576" w:lineRule="exact"/>
        <w:ind w:firstLine="640" w:firstLineChars="200"/>
        <w:jc w:val="both"/>
        <w:rPr>
          <w:rFonts w:ascii="Times New Roman" w:hAnsi="Times New Roman" w:eastAsia="楷体_GB2312"/>
          <w:kern w:val="2"/>
          <w:sz w:val="32"/>
          <w:szCs w:val="32"/>
        </w:rPr>
      </w:pPr>
      <w:r>
        <w:rPr>
          <w:rFonts w:ascii="Times New Roman" w:hAnsi="Times New Roman" w:eastAsia="楷体_GB2312"/>
          <w:kern w:val="2"/>
          <w:sz w:val="32"/>
          <w:szCs w:val="32"/>
        </w:rPr>
        <w:t>（二）项目支出</w:t>
      </w:r>
    </w:p>
    <w:p>
      <w:pPr>
        <w:pStyle w:val="7"/>
        <w:widowControl/>
        <w:shd w:val="clear" w:color="auto" w:fill="FFFFFF"/>
        <w:spacing w:beforeAutospacing="0" w:afterAutospacing="0" w:line="576" w:lineRule="exact"/>
        <w:ind w:firstLine="642" w:firstLineChars="200"/>
        <w:jc w:val="both"/>
        <w:rPr>
          <w:rFonts w:ascii="Times New Roman" w:hAnsi="Times New Roman" w:eastAsia="仿宋_GB2312"/>
          <w:sz w:val="32"/>
          <w:szCs w:val="32"/>
          <w:shd w:val="clear" w:color="auto" w:fill="FFFFFF"/>
        </w:rPr>
      </w:pPr>
      <w:r>
        <w:rPr>
          <w:rFonts w:ascii="Times New Roman" w:hAnsi="Times New Roman" w:eastAsia="仿宋_GB2312"/>
          <w:b/>
          <w:bCs/>
          <w:kern w:val="2"/>
          <w:sz w:val="32"/>
          <w:szCs w:val="32"/>
        </w:rPr>
        <w:t>1.项目资金（包括财政资金、自筹资金等）安排落实、总投入等情况分析。</w:t>
      </w:r>
      <w:r>
        <w:rPr>
          <w:rFonts w:ascii="Times New Roman" w:hAnsi="Times New Roman" w:eastAsia="仿宋_GB2312"/>
          <w:sz w:val="32"/>
          <w:szCs w:val="32"/>
          <w:shd w:val="clear" w:color="auto" w:fill="FFFFFF"/>
        </w:rPr>
        <w:t>2022年全年项目资金共计支出12674.61万元，其中一般公共预算财政拨款项目支出5064.37万元，政府性基金预算财政拨款项目支出3790.70万元，自筹资金3819.54万元。2022年新增政府投资项目31个，总计投资693.47万元，主要包括2022年度省规农村道路安防建设，交通安全隐患路段防护栏安装，校车交通安全警示牌制作及车位划线，灰汤及偕乐集镇各安置区屋面修复及雨污管道维修，灰汤镇林业站、农技中心、动物防疫站装修改造，灰汤镇Y651防汛道路处险及Y646公路维修，疫情防控居家监控及“村村响”设备采购，“千塘万亩清淤”及部分水库、水渠修复疏浚工程，违法卫片图斑修复，非经营性隐患自建房结构安全鉴定，灰汤镇乡村振兴规划编制，灰汤温泉国家级旅游度假区旅游基础项目编制和设计等。目前已完成项目26个，在建项目5个，已完成投资563.86万元。资金下拨到村并由各村（社区）投资项目共235个，</w:t>
      </w:r>
      <w:r>
        <w:rPr>
          <w:rFonts w:hint="eastAsia" w:ascii="Times New Roman" w:hAnsi="Times New Roman" w:eastAsia="仿宋_GB2312"/>
          <w:sz w:val="32"/>
          <w:szCs w:val="32"/>
          <w:shd w:val="clear" w:color="auto" w:fill="FFFFFF"/>
        </w:rPr>
        <w:t>已完成投资</w:t>
      </w:r>
      <w:r>
        <w:rPr>
          <w:rFonts w:ascii="Times New Roman" w:hAnsi="Times New Roman" w:eastAsia="仿宋_GB2312"/>
          <w:sz w:val="32"/>
          <w:szCs w:val="32"/>
          <w:shd w:val="clear" w:color="auto" w:fill="FFFFFF"/>
        </w:rPr>
        <w:t>2130.70万元。另外，</w:t>
      </w:r>
      <w:r>
        <w:rPr>
          <w:rFonts w:hint="eastAsia" w:ascii="Times New Roman" w:hAnsi="Times New Roman" w:eastAsia="仿宋_GB2312"/>
          <w:sz w:val="32"/>
          <w:szCs w:val="32"/>
          <w:shd w:val="clear" w:color="auto" w:fill="FFFFFF"/>
        </w:rPr>
        <w:t>支付</w:t>
      </w:r>
      <w:r>
        <w:rPr>
          <w:rFonts w:ascii="Times New Roman" w:hAnsi="Times New Roman" w:eastAsia="仿宋_GB2312"/>
          <w:sz w:val="32"/>
          <w:szCs w:val="32"/>
          <w:shd w:val="clear" w:color="auto" w:fill="FFFFFF"/>
        </w:rPr>
        <w:t>往年项目工程</w:t>
      </w:r>
      <w:r>
        <w:rPr>
          <w:rFonts w:hint="eastAsia" w:ascii="Times New Roman" w:hAnsi="Times New Roman" w:eastAsia="仿宋_GB2312"/>
          <w:sz w:val="32"/>
          <w:szCs w:val="32"/>
          <w:shd w:val="clear" w:color="auto" w:fill="FFFFFF"/>
        </w:rPr>
        <w:t>款及</w:t>
      </w:r>
      <w:r>
        <w:rPr>
          <w:rFonts w:ascii="Times New Roman" w:hAnsi="Times New Roman" w:eastAsia="仿宋_GB2312"/>
          <w:sz w:val="32"/>
          <w:szCs w:val="32"/>
          <w:shd w:val="clear" w:color="auto" w:fill="FFFFFF"/>
        </w:rPr>
        <w:t>其他</w:t>
      </w:r>
      <w:r>
        <w:rPr>
          <w:rFonts w:hint="eastAsia" w:ascii="Times New Roman" w:hAnsi="Times New Roman" w:eastAsia="仿宋_GB2312"/>
          <w:sz w:val="32"/>
          <w:szCs w:val="32"/>
          <w:shd w:val="clear" w:color="auto" w:fill="FFFFFF"/>
        </w:rPr>
        <w:t>零星</w:t>
      </w:r>
      <w:r>
        <w:rPr>
          <w:rFonts w:ascii="Times New Roman" w:hAnsi="Times New Roman" w:eastAsia="仿宋_GB2312"/>
          <w:sz w:val="32"/>
          <w:szCs w:val="32"/>
          <w:shd w:val="clear" w:color="auto" w:fill="FFFFFF"/>
        </w:rPr>
        <w:t>项目完成投资约3780.95万元。</w:t>
      </w:r>
    </w:p>
    <w:p>
      <w:pPr>
        <w:pStyle w:val="7"/>
        <w:widowControl/>
        <w:shd w:val="clear" w:color="auto" w:fill="FFFFFF"/>
        <w:spacing w:beforeAutospacing="0" w:afterAutospacing="0" w:line="576" w:lineRule="exact"/>
        <w:ind w:firstLine="642" w:firstLineChars="200"/>
        <w:jc w:val="both"/>
        <w:rPr>
          <w:rFonts w:ascii="Times New Roman" w:hAnsi="Times New Roman" w:eastAsia="仿宋_GB2312"/>
          <w:sz w:val="32"/>
          <w:szCs w:val="32"/>
          <w:shd w:val="clear" w:color="auto" w:fill="FFFFFF"/>
        </w:rPr>
      </w:pPr>
      <w:r>
        <w:rPr>
          <w:rFonts w:ascii="Times New Roman" w:hAnsi="Times New Roman" w:eastAsia="仿宋_GB2312"/>
          <w:b/>
          <w:bCs/>
          <w:kern w:val="2"/>
          <w:sz w:val="32"/>
          <w:szCs w:val="32"/>
        </w:rPr>
        <w:t>2.项目资金（主要指财政资金）实际使用情况分析。</w:t>
      </w:r>
      <w:r>
        <w:rPr>
          <w:rFonts w:ascii="Times New Roman" w:hAnsi="Times New Roman" w:eastAsia="仿宋_GB2312"/>
          <w:sz w:val="32"/>
          <w:szCs w:val="32"/>
          <w:shd w:val="clear" w:color="auto" w:fill="FFFFFF"/>
        </w:rPr>
        <w:t>财政拨款项目资金支出共8855.07万元。其中一般公共服务支出950.42万元，公共安全支出2.56万元，教育支出652.04万元，文化旅游体育与传媒支出49.20万元，社会保障和就业支出635.14万元，卫生健康支出67.55万元，节能环保支出16.63万元，城乡社区支出3703.41万元，农林水支出2276.06万元，交通运输支出472.06万元，灾害防治及应急管理支出30.00万元。其中城乡社区支出和农林水支出较多，主要是返还涉及雅居乐项目借款，以及2022年度衔接推进乡村振兴项目资金拨付、农村道路、水利基础设施建设等，其余项目资金使用情况基本上与预算情况相符。</w:t>
      </w:r>
    </w:p>
    <w:p>
      <w:pPr>
        <w:pStyle w:val="7"/>
        <w:widowControl/>
        <w:shd w:val="clear" w:color="auto" w:fill="FFFFFF"/>
        <w:spacing w:beforeAutospacing="0" w:afterAutospacing="0" w:line="576" w:lineRule="exact"/>
        <w:ind w:firstLine="642" w:firstLineChars="200"/>
        <w:jc w:val="both"/>
        <w:rPr>
          <w:rFonts w:ascii="Times New Roman" w:hAnsi="Times New Roman" w:eastAsia="仿宋_GB2312"/>
          <w:sz w:val="32"/>
          <w:szCs w:val="32"/>
          <w:shd w:val="clear" w:color="auto" w:fill="FFFFFF"/>
        </w:rPr>
      </w:pPr>
      <w:r>
        <w:rPr>
          <w:rFonts w:ascii="Times New Roman" w:hAnsi="Times New Roman" w:eastAsia="仿宋_GB2312"/>
          <w:b/>
          <w:bCs/>
          <w:kern w:val="2"/>
          <w:sz w:val="32"/>
          <w:szCs w:val="32"/>
        </w:rPr>
        <w:t>3.项目资金管理情况分析。</w:t>
      </w:r>
      <w:r>
        <w:rPr>
          <w:rFonts w:ascii="Times New Roman" w:hAnsi="Times New Roman" w:eastAsia="仿宋_GB2312"/>
          <w:sz w:val="32"/>
          <w:szCs w:val="32"/>
          <w:shd w:val="clear" w:color="auto" w:fill="FFFFFF"/>
        </w:rPr>
        <w:t>我镇项目资金全部按财政国库集中支付制度要求使用和拨付，通过财政直接支付方式拨给项目实施单位。在拨付过程中严把监督审核关，建立健全内部审批制度，财务做好项目专账，严格实行专款专用，保证资金及时足额用到项目中。</w:t>
      </w:r>
    </w:p>
    <w:p>
      <w:pPr>
        <w:pStyle w:val="7"/>
        <w:widowControl/>
        <w:shd w:val="clear" w:color="auto" w:fill="FFFFFF"/>
        <w:spacing w:beforeAutospacing="0" w:afterAutospacing="0" w:line="576"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三、部门项目组织实施情况</w:t>
      </w:r>
    </w:p>
    <w:p>
      <w:pPr>
        <w:widowControl/>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（一）项目组织情况分析。</w:t>
      </w:r>
    </w:p>
    <w:p>
      <w:pPr>
        <w:widowControl/>
        <w:spacing w:line="576" w:lineRule="exact"/>
        <w:ind w:firstLine="642" w:firstLineChars="200"/>
        <w:rPr>
          <w:rFonts w:ascii="Times New Roman" w:hAnsi="Times New Roman" w:eastAsia="仿宋_GB2312" w:cs="Times New Roman"/>
          <w:bCs/>
          <w:caps/>
          <w:kern w:val="0"/>
          <w:sz w:val="32"/>
          <w:szCs w:val="32"/>
        </w:rPr>
      </w:pPr>
      <w:r>
        <w:rPr>
          <w:rFonts w:ascii="Times New Roman" w:hAnsi="Times New Roman" w:eastAsia="仿宋_GB2312" w:cs="Times New Roman"/>
          <w:b/>
          <w:bCs/>
          <w:sz w:val="32"/>
          <w:szCs w:val="32"/>
        </w:rPr>
        <w:t>1.项目组织。</w:t>
      </w:r>
      <w:r>
        <w:rPr>
          <w:rFonts w:ascii="Times New Roman" w:hAnsi="Times New Roman" w:eastAsia="仿宋_GB2312" w:cs="Times New Roman"/>
          <w:bCs/>
          <w:caps/>
          <w:kern w:val="0"/>
          <w:sz w:val="32"/>
          <w:szCs w:val="32"/>
        </w:rPr>
        <w:t>项目工程在完成方案设计、初步预算、合同签订后统一由经济发展办组织实施，各线办不得自行确定施工队伍。招投标工程必须完成立项、规划、建设、国土等行政审批手续取得施工许可证后才能动工。项目管理严格执行项目法人责任制、招标投标制、建设监理制、合同管理制。工程变更。任何单位和个人不得随意变更设计文件、施工图等。工程变更由负责项目的专业技术人员提出，经经发办分管领导组织实地查看后按下列程序予以实施。</w:t>
      </w:r>
    </w:p>
    <w:p>
      <w:pPr>
        <w:widowControl/>
        <w:spacing w:line="576" w:lineRule="exact"/>
        <w:ind w:firstLine="642" w:firstLineChars="200"/>
        <w:rPr>
          <w:rFonts w:ascii="Times New Roman" w:hAnsi="Times New Roman" w:eastAsia="仿宋_GB2312" w:cs="Times New Roman"/>
          <w:bCs/>
          <w:caps/>
          <w:kern w:val="0"/>
          <w:sz w:val="32"/>
          <w:szCs w:val="32"/>
        </w:rPr>
      </w:pPr>
      <w:r>
        <w:rPr>
          <w:rFonts w:ascii="Times New Roman" w:hAnsi="Times New Roman" w:eastAsia="仿宋_GB2312" w:cs="Times New Roman"/>
          <w:b/>
          <w:bCs/>
          <w:sz w:val="32"/>
          <w:szCs w:val="32"/>
        </w:rPr>
        <w:t>2.项目变更。</w:t>
      </w:r>
      <w:r>
        <w:rPr>
          <w:rFonts w:ascii="Times New Roman" w:hAnsi="Times New Roman" w:eastAsia="仿宋_GB2312" w:cs="Times New Roman"/>
          <w:bCs/>
          <w:caps/>
          <w:kern w:val="0"/>
          <w:sz w:val="32"/>
          <w:szCs w:val="32"/>
        </w:rPr>
        <w:t>（1）变更工程造价1万元以下的，由项目负责人、监理、经发办主任、经发办分管领导、镇长同意后确定。（2）变更工程造价1万元以上的，由项目负责人、监理、经发办主任、经发办分管领导、镇长、书记同意并经局镇班子会议研究后确定。（3）工程变更绝对值累计超过100万元或10%的，变更提出方须拟订两套以上变更方案，编制造价对比分析表，经项目建设单位、设计单位、监理单位、行业主管部门初审，市政投办现场确认后报市政府常务会议审定。所有项目变更由施工方向经发办递交项目书面变更申请，并填写项目变更审批表作为项目变更实施和结算依据。未按规定办理变更审批手续的，变更增加的工程费用不得实施项目工程结算。</w:t>
      </w:r>
    </w:p>
    <w:p>
      <w:pPr>
        <w:spacing w:line="576"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3.竣工验收。</w:t>
      </w:r>
      <w:r>
        <w:rPr>
          <w:rFonts w:ascii="Times New Roman" w:hAnsi="Times New Roman" w:eastAsia="仿宋_GB2312" w:cs="Times New Roman"/>
          <w:sz w:val="32"/>
          <w:szCs w:val="32"/>
        </w:rPr>
        <w:t>（1）施工单位完成所承包项目工程所有工作后，进行自检，自检合格后，以书面形式向监理部门、建设方工程部申请进行竣工验收。（2）监理方和工程部在收到申请报告后，由经发办委派建设方项目经理汇同监理方各专业人员进行初检，初检合格后将验收结果报经发办，否则，责令返工。（3）经发办在收到验收报告后，向经发办分管领导报告，在征得领导同意批示后，会同镇纪委、财政所、监理单位进行统一验收，签署验收文件。（4）施工单位在收到验收文件后，在监理单位统一组织下编制工程竣工备案文件。</w:t>
      </w:r>
    </w:p>
    <w:p>
      <w:pPr>
        <w:spacing w:line="576"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（二）项目管理情况分析。</w:t>
      </w:r>
    </w:p>
    <w:p>
      <w:pPr>
        <w:spacing w:line="576" w:lineRule="exact"/>
        <w:ind w:firstLine="640" w:firstLineChars="200"/>
        <w:rPr>
          <w:rFonts w:ascii="Times New Roman" w:hAnsi="Times New Roman" w:eastAsia="仿宋_GB2312" w:cs="Times New Roman"/>
          <w:kern w:val="0"/>
          <w:sz w:val="32"/>
          <w:szCs w:val="32"/>
          <w:shd w:val="clear" w:color="auto" w:fill="FFFFFF"/>
          <w:lang w:bidi="ar"/>
        </w:rPr>
      </w:pPr>
      <w:r>
        <w:rPr>
          <w:rFonts w:ascii="Times New Roman" w:hAnsi="Times New Roman" w:eastAsia="仿宋_GB2312" w:cs="Times New Roman"/>
          <w:kern w:val="0"/>
          <w:sz w:val="32"/>
          <w:szCs w:val="32"/>
          <w:shd w:val="clear" w:color="auto" w:fill="FFFFFF"/>
          <w:lang w:bidi="ar"/>
        </w:rPr>
        <w:t>我镇项目实施和资金使用分配坚持镇党委会议集体决策。项目管理严格按照《灰汤镇人民政府投资项目管理办法》实施，成立灰汤镇政府投资项目领导小组，由镇党委书记任顾问，镇人民政府镇长任组长，分管领导任常务副组长，纪检、财贸、国土、规划分管领导任副组长，经济发展办、纪委、财政所、国土所为成员单位，领导小组办公室设经济发展办，负责政府投资项目日常管理、稽察等工作，由经发办主任担任办公室主任。从项目计划、审批、工程概算及预算、合约制度、施工管理、项目验收、项目结算等七个方面对项目实施进行详细的规定。具体实施金额的要求严格按照宁乡市委办、市人民政府关于进一步加强政府投资建设项目管理的通知执行。</w:t>
      </w:r>
    </w:p>
    <w:p>
      <w:pPr>
        <w:pStyle w:val="7"/>
        <w:widowControl/>
        <w:shd w:val="clear" w:color="auto" w:fill="FFFFFF"/>
        <w:spacing w:beforeAutospacing="0" w:afterAutospacing="0" w:line="576"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四、资产管理情况</w:t>
      </w:r>
    </w:p>
    <w:p>
      <w:pPr>
        <w:widowControl/>
        <w:spacing w:line="576" w:lineRule="exact"/>
        <w:ind w:left="-2" w:leftChars="-1" w:firstLine="640" w:firstLineChars="200"/>
        <w:rPr>
          <w:rFonts w:ascii="Times New Roman" w:hAnsi="Times New Roman" w:eastAsia="仿宋_GB2312" w:cs="Times New Roman"/>
          <w:kern w:val="0"/>
          <w:sz w:val="32"/>
          <w:szCs w:val="32"/>
          <w:shd w:val="clear" w:color="auto" w:fill="FFFFFF"/>
          <w:lang w:bidi="ar"/>
        </w:rPr>
      </w:pPr>
      <w:r>
        <w:rPr>
          <w:rFonts w:ascii="Times New Roman" w:hAnsi="Times New Roman" w:eastAsia="仿宋_GB2312" w:cs="Times New Roman"/>
          <w:kern w:val="0"/>
          <w:sz w:val="32"/>
          <w:szCs w:val="32"/>
          <w:shd w:val="clear" w:color="auto" w:fill="FFFFFF"/>
          <w:lang w:bidi="ar"/>
        </w:rPr>
        <w:t>我镇固定资产的管理和使用坚持“统一政策、统一领导、分级管理、责任到人、物尽其用”的原则。镇财政所安排专人负责固定资产台账登记管理，加强资产管理信息系统建设，及时登记资产变动情况，按时上报资产信息数据。</w:t>
      </w:r>
    </w:p>
    <w:p>
      <w:pPr>
        <w:widowControl/>
        <w:spacing w:line="576" w:lineRule="exact"/>
        <w:ind w:left="-2" w:leftChars="-1" w:firstLine="640" w:firstLineChars="200"/>
        <w:rPr>
          <w:rFonts w:ascii="Times New Roman" w:hAnsi="Times New Roman" w:eastAsia="仿宋_GB2312" w:cs="Times New Roman"/>
          <w:kern w:val="0"/>
          <w:sz w:val="32"/>
          <w:szCs w:val="32"/>
          <w:shd w:val="clear" w:color="auto" w:fill="FFFFFF"/>
          <w:lang w:bidi="ar"/>
        </w:rPr>
      </w:pPr>
      <w:r>
        <w:rPr>
          <w:rFonts w:ascii="Times New Roman" w:hAnsi="Times New Roman" w:eastAsia="仿宋_GB2312" w:cs="Times New Roman"/>
          <w:kern w:val="0"/>
          <w:sz w:val="32"/>
          <w:szCs w:val="32"/>
          <w:shd w:val="clear" w:color="auto" w:fill="FFFFFF"/>
          <w:lang w:bidi="ar"/>
        </w:rPr>
        <w:t>2022年初固定资产净值4456.37万元，全年新增固定资产22.19万元，主要是政府第二办公区会议室、退役军人服务中心购置桌椅，林业站装修改造购置桌椅及电器，政协工作室采购“智慧政协”系统等。全年共计提固定资产折旧361.90万元，无核销。2021年末固定资产净值4116.66万元。所有资产的构建、购入、出租、报废等严格按照《宁乡市行政事业单位国有资产管理暂行办法》的规定，经镇领导审核同意后，报市乡镇财政监管中心以及国资局审批后执行。</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b/>
          <w:bCs/>
          <w:sz w:val="32"/>
          <w:szCs w:val="32"/>
        </w:rPr>
      </w:pPr>
      <w:r>
        <w:rPr>
          <w:rFonts w:ascii="Times New Roman" w:hAnsi="Times New Roman" w:eastAsia="黑体"/>
          <w:sz w:val="32"/>
          <w:szCs w:val="32"/>
          <w:shd w:val="clear" w:color="auto" w:fill="FFFFFF"/>
        </w:rPr>
        <w:t>五、部门整体支出绩效情况</w:t>
      </w:r>
    </w:p>
    <w:p>
      <w:pPr>
        <w:snapToGrid w:val="0"/>
        <w:spacing w:line="576"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一是党的建设摆在首位。</w:t>
      </w:r>
      <w:r>
        <w:rPr>
          <w:rFonts w:ascii="Times New Roman" w:hAnsi="Times New Roman" w:eastAsia="仿宋_GB2312" w:cs="Times New Roman"/>
          <w:sz w:val="32"/>
          <w:szCs w:val="32"/>
        </w:rPr>
        <w:t>深入学习贯彻习近平新时代中国特色社会主义思想和党的二十大精神，严格执行民主集中制、“三重一大”集体决策制度，党建及纪检工作成效明显。</w:t>
      </w:r>
    </w:p>
    <w:p>
      <w:pPr>
        <w:snapToGrid w:val="0"/>
        <w:spacing w:line="576"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二是经济发展稳中向好。</w:t>
      </w:r>
      <w:r>
        <w:rPr>
          <w:rFonts w:ascii="Times New Roman" w:hAnsi="Times New Roman" w:eastAsia="仿宋_GB2312" w:cs="Times New Roman"/>
          <w:sz w:val="32"/>
          <w:szCs w:val="32"/>
        </w:rPr>
        <w:t>整合多方资源，投入专项资金完成灰汤国家级旅游度假区核心景区提质改造，规范标识标牌系统，提升度假区服务水平，创新方法完成高速公路连接线拓宽等工程。</w:t>
      </w:r>
    </w:p>
    <w:p>
      <w:pPr>
        <w:snapToGrid w:val="0"/>
        <w:spacing w:line="576"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三是农业工作争先创优。</w:t>
      </w:r>
      <w:r>
        <w:rPr>
          <w:rFonts w:ascii="Times New Roman" w:hAnsi="Times New Roman" w:eastAsia="仿宋_GB2312" w:cs="Times New Roman"/>
          <w:sz w:val="32"/>
          <w:szCs w:val="32"/>
        </w:rPr>
        <w:t>创双季稻五万亩连片，圆满完成粮食生产目标任务。稳步落实烟叶生产任务，烟叶生长态势好，产量丰。利用旱期冬修水利，各方共投入资金500余万元，完成980亩山塘清淤工作，新增蓄水能力100余万立方米，恢复灌溉面积9800余亩。</w:t>
      </w:r>
    </w:p>
    <w:p>
      <w:pPr>
        <w:snapToGrid w:val="0"/>
        <w:spacing w:line="576"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四是乡村振兴取得实效。</w:t>
      </w:r>
      <w:r>
        <w:rPr>
          <w:rFonts w:ascii="Times New Roman" w:hAnsi="Times New Roman" w:eastAsia="仿宋_GB2312" w:cs="Times New Roman"/>
          <w:sz w:val="32"/>
          <w:szCs w:val="32"/>
        </w:rPr>
        <w:t>全年实施衔接资金项目8个，带动9个村（社区）集体经济增收合计28万/年。3个村集体经济收入均突破100万元，其余村集体经济收入突破50万元；人居环境整治、河长制、路长制等工作，综合排名均位居全市前列。</w:t>
      </w:r>
    </w:p>
    <w:p>
      <w:pPr>
        <w:snapToGrid w:val="0"/>
        <w:spacing w:line="576"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五是社会治理和谐稳定。</w:t>
      </w:r>
      <w:r>
        <w:rPr>
          <w:rFonts w:ascii="Times New Roman" w:hAnsi="Times New Roman" w:eastAsia="仿宋_GB2312" w:cs="Times New Roman"/>
          <w:sz w:val="32"/>
          <w:szCs w:val="32"/>
        </w:rPr>
        <w:t>认真处理来信来访，及时办结上级交办件51件，全镇信访积案明显下降。深入推进森林防火与秸秆禁烧工作，常态化开展安全生产检查和宣讲，对23845户村民自建房进行安全隐患排查，对1180户经营性自建房进行安全鉴定，全年未发生安全生产责任事故。</w:t>
      </w:r>
    </w:p>
    <w:p>
      <w:pPr>
        <w:snapToGrid w:val="0"/>
        <w:spacing w:line="576" w:lineRule="exact"/>
        <w:ind w:firstLine="642"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六是民生福祉落在实处。</w:t>
      </w:r>
      <w:r>
        <w:rPr>
          <w:rFonts w:ascii="Times New Roman" w:hAnsi="Times New Roman" w:eastAsia="仿宋_GB2312" w:cs="Times New Roman"/>
          <w:sz w:val="32"/>
          <w:szCs w:val="32"/>
        </w:rPr>
        <w:t>科学有效落实疫情防控相关措施，高效处置将军村和花果山村阳性确诊事件，严格按上级要求开展疫苗接种和核酸检测工作，各年龄段接种率均达到90%以上。在治安巡逻、矛盾纠纷化解、困难群众生活保障等方面主动作为，群众满意率不断提升。</w:t>
      </w:r>
    </w:p>
    <w:p>
      <w:pPr>
        <w:pStyle w:val="7"/>
        <w:widowControl/>
        <w:shd w:val="clear" w:color="auto" w:fill="FFFFFF"/>
        <w:spacing w:beforeAutospacing="0" w:afterAutospacing="0" w:line="576"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六、存在的主要问题</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一是内控制度需进一步完善，需对机关各类财务制度进行更新完善。二是因有的项目办理结算进度慢，导致项目资金支付进度滞后。</w:t>
      </w:r>
    </w:p>
    <w:p>
      <w:pPr>
        <w:pStyle w:val="7"/>
        <w:widowControl/>
        <w:shd w:val="clear" w:color="auto" w:fill="FFFFFF"/>
        <w:spacing w:beforeAutospacing="0" w:afterAutospacing="0" w:line="576" w:lineRule="exact"/>
        <w:ind w:firstLine="640" w:firstLineChars="200"/>
        <w:jc w:val="both"/>
        <w:rPr>
          <w:rFonts w:ascii="Times New Roman" w:hAnsi="Times New Roman" w:eastAsia="黑体"/>
          <w:sz w:val="32"/>
          <w:szCs w:val="32"/>
          <w:shd w:val="clear" w:color="auto" w:fill="FFFFFF"/>
        </w:rPr>
      </w:pPr>
      <w:r>
        <w:rPr>
          <w:rFonts w:ascii="Times New Roman" w:hAnsi="Times New Roman" w:eastAsia="黑体"/>
          <w:sz w:val="32"/>
          <w:szCs w:val="32"/>
          <w:shd w:val="clear" w:color="auto" w:fill="FFFFFF"/>
        </w:rPr>
        <w:t>七、改进措施和有关建议</w:t>
      </w:r>
    </w:p>
    <w:p>
      <w:pPr>
        <w:pStyle w:val="7"/>
        <w:widowControl/>
        <w:shd w:val="clear" w:color="auto" w:fill="FFFFFF"/>
        <w:spacing w:beforeAutospacing="0" w:afterAutospacing="0" w:line="576" w:lineRule="exact"/>
        <w:ind w:firstLine="640" w:firstLineChars="200"/>
        <w:jc w:val="both"/>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一要科学合理编制预算，严格执行预算。进一步提高预算编制到位率，做准做全基本支出预算，做全项目支出预算，加强预算支出的审核、跟踪及预算执行情况分析，提高预算编制严谨性和可控性。二要进一步完善内部管理制度，修订机关财务管理制度，提升管理效能。三要进一步加强项目资金管理。严格实行项目管理程序化，实现项目申报、实施、拨付、评价全流程监督与控制，规范专项资金管理，提高专项资金的使用效益。</w:t>
      </w:r>
    </w:p>
    <w:sectPr>
      <w:footerReference r:id="rId3" w:type="default"/>
      <w:pgSz w:w="11906" w:h="16838"/>
      <w:pgMar w:top="2098" w:right="1474" w:bottom="1985" w:left="1588" w:header="851" w:footer="158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汉仪中宋简">
    <w:panose1 w:val="02010609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EndPr>
      <w:rPr>
        <w:rFonts w:ascii="宋体" w:hAnsi="宋体" w:eastAsia="宋体"/>
        <w:sz w:val="28"/>
        <w:szCs w:val="28"/>
      </w:rPr>
    </w:sdtEndPr>
    <w:sdtContent>
      <w:p>
        <w:pPr>
          <w:pStyle w:val="5"/>
          <w:jc w:val="right"/>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AF2E80"/>
    <w:rsid w:val="00073C32"/>
    <w:rsid w:val="00075BAD"/>
    <w:rsid w:val="000D20ED"/>
    <w:rsid w:val="000D53C4"/>
    <w:rsid w:val="00131334"/>
    <w:rsid w:val="00137E0C"/>
    <w:rsid w:val="001A4736"/>
    <w:rsid w:val="002739FB"/>
    <w:rsid w:val="002C4EB4"/>
    <w:rsid w:val="002F62C0"/>
    <w:rsid w:val="0031144E"/>
    <w:rsid w:val="00350CC0"/>
    <w:rsid w:val="003B321B"/>
    <w:rsid w:val="003C0FBA"/>
    <w:rsid w:val="00400194"/>
    <w:rsid w:val="00431265"/>
    <w:rsid w:val="00467260"/>
    <w:rsid w:val="00480ACD"/>
    <w:rsid w:val="004A23ED"/>
    <w:rsid w:val="004C721C"/>
    <w:rsid w:val="004E496B"/>
    <w:rsid w:val="005118DE"/>
    <w:rsid w:val="005B39C9"/>
    <w:rsid w:val="005E14C5"/>
    <w:rsid w:val="005F7C00"/>
    <w:rsid w:val="006317E7"/>
    <w:rsid w:val="00637230"/>
    <w:rsid w:val="006A1197"/>
    <w:rsid w:val="006B1F26"/>
    <w:rsid w:val="006B3EB1"/>
    <w:rsid w:val="00712AB5"/>
    <w:rsid w:val="00737C9A"/>
    <w:rsid w:val="00752785"/>
    <w:rsid w:val="00785FBF"/>
    <w:rsid w:val="00790287"/>
    <w:rsid w:val="00805FE0"/>
    <w:rsid w:val="00825CC7"/>
    <w:rsid w:val="00847886"/>
    <w:rsid w:val="008936B3"/>
    <w:rsid w:val="00893C3B"/>
    <w:rsid w:val="008A288D"/>
    <w:rsid w:val="008B634E"/>
    <w:rsid w:val="008D2159"/>
    <w:rsid w:val="008D5B3A"/>
    <w:rsid w:val="008E66AD"/>
    <w:rsid w:val="00911C3C"/>
    <w:rsid w:val="00957364"/>
    <w:rsid w:val="00974DC5"/>
    <w:rsid w:val="009751B9"/>
    <w:rsid w:val="00996578"/>
    <w:rsid w:val="00997C63"/>
    <w:rsid w:val="009B35A8"/>
    <w:rsid w:val="009D1EED"/>
    <w:rsid w:val="00A1151D"/>
    <w:rsid w:val="00A46BFA"/>
    <w:rsid w:val="00A64210"/>
    <w:rsid w:val="00AD1B39"/>
    <w:rsid w:val="00AF434D"/>
    <w:rsid w:val="00B71721"/>
    <w:rsid w:val="00B80097"/>
    <w:rsid w:val="00BB1543"/>
    <w:rsid w:val="00C5516D"/>
    <w:rsid w:val="00C758E0"/>
    <w:rsid w:val="00CD3992"/>
    <w:rsid w:val="00D62F35"/>
    <w:rsid w:val="00E45905"/>
    <w:rsid w:val="00E538F9"/>
    <w:rsid w:val="00E9093E"/>
    <w:rsid w:val="00ED7AB1"/>
    <w:rsid w:val="00F11B30"/>
    <w:rsid w:val="00F92789"/>
    <w:rsid w:val="00FB3595"/>
    <w:rsid w:val="00FD17E0"/>
    <w:rsid w:val="00FE4457"/>
    <w:rsid w:val="06460929"/>
    <w:rsid w:val="068E704D"/>
    <w:rsid w:val="1FE74E5B"/>
    <w:rsid w:val="1FEA37CA"/>
    <w:rsid w:val="1FFB3926"/>
    <w:rsid w:val="2AAF2712"/>
    <w:rsid w:val="2D2B5943"/>
    <w:rsid w:val="2F0254C9"/>
    <w:rsid w:val="3B37AE1F"/>
    <w:rsid w:val="3DF70ECE"/>
    <w:rsid w:val="416E6A12"/>
    <w:rsid w:val="41AF2E80"/>
    <w:rsid w:val="47662183"/>
    <w:rsid w:val="4BE841A9"/>
    <w:rsid w:val="4C6751A4"/>
    <w:rsid w:val="4DEE0BB5"/>
    <w:rsid w:val="534102B3"/>
    <w:rsid w:val="5C0140C4"/>
    <w:rsid w:val="60914893"/>
    <w:rsid w:val="682259E5"/>
    <w:rsid w:val="6F01767D"/>
    <w:rsid w:val="74FB42DD"/>
    <w:rsid w:val="773458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next w:val="1"/>
    <w:qFormat/>
    <w:uiPriority w:val="0"/>
    <w:pPr>
      <w:ind w:firstLine="420" w:firstLineChars="100"/>
    </w:pPr>
  </w:style>
  <w:style w:type="paragraph" w:styleId="4">
    <w:name w:val="Date"/>
    <w:basedOn w:val="1"/>
    <w:next w:val="1"/>
    <w:link w:val="12"/>
    <w:uiPriority w:val="0"/>
    <w:pPr>
      <w:ind w:left="100" w:leftChars="2500"/>
    </w:pPr>
  </w:style>
  <w:style w:type="paragraph" w:styleId="5">
    <w:name w:val="footer"/>
    <w:basedOn w:val="1"/>
    <w:link w:val="11"/>
    <w:uiPriority w:val="99"/>
    <w:pPr>
      <w:tabs>
        <w:tab w:val="center" w:pos="4153"/>
        <w:tab w:val="right" w:pos="8306"/>
      </w:tabs>
      <w:snapToGrid w:val="0"/>
      <w:jc w:val="left"/>
    </w:pPr>
    <w:rPr>
      <w:sz w:val="18"/>
      <w:szCs w:val="18"/>
    </w:rPr>
  </w:style>
  <w:style w:type="paragraph" w:styleId="6">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customStyle="1" w:styleId="10">
    <w:name w:val="页眉 字符"/>
    <w:basedOn w:val="9"/>
    <w:link w:val="6"/>
    <w:qFormat/>
    <w:uiPriority w:val="0"/>
    <w:rPr>
      <w:rFonts w:asciiTheme="minorHAnsi" w:hAnsiTheme="minorHAnsi" w:eastAsiaTheme="minorEastAsia" w:cstheme="minorBidi"/>
      <w:kern w:val="2"/>
      <w:sz w:val="18"/>
      <w:szCs w:val="18"/>
    </w:rPr>
  </w:style>
  <w:style w:type="character" w:customStyle="1" w:styleId="11">
    <w:name w:val="页脚 字符"/>
    <w:basedOn w:val="9"/>
    <w:link w:val="5"/>
    <w:uiPriority w:val="99"/>
    <w:rPr>
      <w:rFonts w:asciiTheme="minorHAnsi" w:hAnsiTheme="minorHAnsi" w:eastAsiaTheme="minorEastAsia" w:cstheme="minorBidi"/>
      <w:kern w:val="2"/>
      <w:sz w:val="18"/>
      <w:szCs w:val="18"/>
    </w:rPr>
  </w:style>
  <w:style w:type="character" w:customStyle="1" w:styleId="12">
    <w:name w:val="日期 字符"/>
    <w:basedOn w:val="9"/>
    <w:link w:val="4"/>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706</Words>
  <Characters>4027</Characters>
  <Lines>33</Lines>
  <Paragraphs>9</Paragraphs>
  <TotalTime>477</TotalTime>
  <ScaleCrop>false</ScaleCrop>
  <LinksUpToDate>false</LinksUpToDate>
  <CharactersWithSpaces>4724</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2021-03-27T11:12:00Z</dcterms:created>
  <dc:creator>Administrator</dc:creator>
  <cp:lastModifiedBy>kylin</cp:lastModifiedBy>
  <cp:lastPrinted>2023-04-07T09:15:00Z</cp:lastPrinted>
  <dcterms:modified xsi:type="dcterms:W3CDTF">2025-08-30T11:10:07Z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611164D81066B4B28F6BB268B5085FC5</vt:lpwstr>
  </property>
</Properties>
</file>