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宋体" w:eastAsia="仿宋_GB2312" w:cs="宋体"/>
          <w:sz w:val="30"/>
          <w:szCs w:val="30"/>
        </w:rPr>
      </w:pPr>
      <w:bookmarkStart w:id="145" w:name="_GoBack"/>
      <w:bookmarkEnd w:id="145"/>
    </w:p>
    <w:p>
      <w:pPr>
        <w:rPr>
          <w:rFonts w:hint="eastAsia" w:ascii="仿宋_GB2312" w:hAnsi="宋体" w:eastAsia="仿宋_GB2312" w:cs="宋体"/>
          <w:sz w:val="30"/>
          <w:szCs w:val="30"/>
        </w:rPr>
      </w:pPr>
    </w:p>
    <w:p>
      <w:pPr>
        <w:rPr>
          <w:rFonts w:hint="eastAsia" w:ascii="仿宋_GB2312" w:hAnsi="宋体" w:eastAsia="仿宋_GB2312" w:cs="宋体"/>
          <w:sz w:val="30"/>
          <w:szCs w:val="30"/>
        </w:rPr>
      </w:pPr>
    </w:p>
    <w:p>
      <w:pPr>
        <w:spacing w:line="360" w:lineRule="auto"/>
        <w:jc w:val="center"/>
        <w:rPr>
          <w:rFonts w:hint="eastAsia" w:ascii="仿宋_GB2312" w:hAnsi="宋体" w:eastAsia="仿宋_GB2312" w:cs="宋体"/>
          <w:b/>
          <w:bCs/>
          <w:sz w:val="48"/>
          <w:szCs w:val="48"/>
          <w:lang w:val="en-US" w:eastAsia="zh-CN"/>
        </w:rPr>
      </w:pPr>
      <w:r>
        <w:rPr>
          <w:rFonts w:hint="eastAsia" w:ascii="仿宋_GB2312" w:hAnsi="宋体" w:eastAsia="仿宋_GB2312" w:cs="宋体"/>
          <w:b/>
          <w:bCs/>
          <w:sz w:val="48"/>
          <w:szCs w:val="48"/>
        </w:rPr>
        <w:t>宁乡市菁华铺乡陈家桥村</w:t>
      </w:r>
      <w:r>
        <w:rPr>
          <w:rFonts w:hint="eastAsia" w:ascii="仿宋_GB2312" w:hAnsi="宋体" w:eastAsia="仿宋_GB2312" w:cs="宋体"/>
          <w:b/>
          <w:bCs/>
          <w:sz w:val="48"/>
          <w:szCs w:val="48"/>
          <w:lang w:val="en-US" w:eastAsia="zh-CN"/>
        </w:rPr>
        <w:t>生态文明</w:t>
      </w:r>
    </w:p>
    <w:p>
      <w:pPr>
        <w:spacing w:before="120" w:after="156"/>
        <w:ind w:firstLine="0" w:firstLineChars="0"/>
        <w:jc w:val="center"/>
        <w:rPr>
          <w:rFonts w:ascii="楷体" w:hAnsi="楷体" w:eastAsia="楷体"/>
          <w:sz w:val="40"/>
        </w:rPr>
      </w:pPr>
      <w:r>
        <w:rPr>
          <w:rFonts w:hint="eastAsia" w:ascii="仿宋_GB2312" w:hAnsi="宋体" w:eastAsia="仿宋_GB2312" w:cs="宋体"/>
          <w:b/>
          <w:bCs/>
          <w:sz w:val="48"/>
          <w:szCs w:val="48"/>
          <w:lang w:val="en-US" w:eastAsia="zh-CN"/>
        </w:rPr>
        <w:t>建设示范村规划</w:t>
      </w:r>
      <w:r>
        <w:rPr>
          <w:rFonts w:hint="eastAsia" w:ascii="楷体" w:hAnsi="楷体" w:eastAsia="楷体"/>
          <w:sz w:val="40"/>
        </w:rPr>
        <w:t>（202</w:t>
      </w:r>
      <w:r>
        <w:rPr>
          <w:rFonts w:hint="eastAsia" w:ascii="楷体" w:hAnsi="楷体" w:eastAsia="楷体"/>
          <w:sz w:val="40"/>
          <w:lang w:val="en-US" w:eastAsia="zh-CN"/>
        </w:rPr>
        <w:t>1</w:t>
      </w:r>
      <w:r>
        <w:rPr>
          <w:rFonts w:hint="eastAsia" w:ascii="楷体" w:hAnsi="楷体" w:eastAsia="楷体"/>
          <w:sz w:val="40"/>
        </w:rPr>
        <w:t>-2025年）</w:t>
      </w:r>
    </w:p>
    <w:p>
      <w:pPr>
        <w:spacing w:line="360" w:lineRule="auto"/>
        <w:jc w:val="center"/>
        <w:rPr>
          <w:rFonts w:hint="eastAsia" w:ascii="仿宋_GB2312" w:hAnsi="宋体" w:eastAsia="仿宋_GB2312" w:cs="宋体"/>
          <w:b/>
          <w:bCs/>
          <w:sz w:val="48"/>
          <w:szCs w:val="48"/>
          <w:lang w:val="en-US" w:eastAsia="zh-CN"/>
        </w:rPr>
      </w:pPr>
    </w:p>
    <w:p>
      <w:pPr>
        <w:jc w:val="center"/>
        <w:rPr>
          <w:rFonts w:hint="eastAsia" w:ascii="仿宋_GB2312" w:hAnsi="宋体" w:eastAsia="仿宋_GB2312" w:cs="宋体"/>
          <w:b/>
          <w:bCs/>
          <w:sz w:val="48"/>
          <w:szCs w:val="48"/>
          <w:lang w:val="en-US" w:eastAsia="zh-CN"/>
        </w:rPr>
      </w:pPr>
    </w:p>
    <w:p>
      <w:pPr>
        <w:jc w:val="center"/>
        <w:rPr>
          <w:rFonts w:hint="eastAsia" w:ascii="仿宋_GB2312" w:hAnsi="宋体" w:eastAsia="仿宋_GB2312" w:cs="宋体"/>
          <w:b/>
          <w:bCs/>
          <w:sz w:val="48"/>
          <w:szCs w:val="48"/>
          <w:lang w:val="en-US" w:eastAsia="zh-CN"/>
        </w:rPr>
      </w:pPr>
    </w:p>
    <w:p>
      <w:pPr>
        <w:jc w:val="center"/>
        <w:rPr>
          <w:rFonts w:hint="eastAsia" w:ascii="仿宋_GB2312" w:hAnsi="宋体" w:eastAsia="仿宋_GB2312" w:cs="宋体"/>
          <w:b/>
          <w:bCs/>
          <w:sz w:val="48"/>
          <w:szCs w:val="48"/>
          <w:lang w:val="en-US" w:eastAsia="zh-CN"/>
        </w:rPr>
      </w:pPr>
    </w:p>
    <w:p>
      <w:pPr>
        <w:jc w:val="center"/>
        <w:rPr>
          <w:rFonts w:hint="eastAsia" w:ascii="仿宋_GB2312" w:hAnsi="宋体" w:eastAsia="仿宋_GB2312" w:cs="宋体"/>
          <w:b/>
          <w:bCs/>
          <w:sz w:val="48"/>
          <w:szCs w:val="48"/>
          <w:lang w:val="en-US" w:eastAsia="zh-CN"/>
        </w:rPr>
      </w:pPr>
    </w:p>
    <w:p>
      <w:pPr>
        <w:jc w:val="center"/>
        <w:rPr>
          <w:rFonts w:hint="eastAsia" w:ascii="仿宋_GB2312" w:hAnsi="宋体" w:eastAsia="仿宋_GB2312" w:cs="宋体"/>
          <w:b/>
          <w:bCs/>
          <w:sz w:val="48"/>
          <w:szCs w:val="48"/>
          <w:lang w:val="en-US" w:eastAsia="zh-CN"/>
        </w:rPr>
      </w:pPr>
    </w:p>
    <w:p>
      <w:pPr>
        <w:jc w:val="center"/>
        <w:rPr>
          <w:rFonts w:hint="eastAsia" w:ascii="仿宋_GB2312" w:hAnsi="宋体" w:eastAsia="仿宋_GB2312" w:cs="宋体"/>
          <w:b/>
          <w:bCs/>
          <w:sz w:val="48"/>
          <w:szCs w:val="48"/>
          <w:lang w:val="en-US" w:eastAsia="zh-CN"/>
        </w:rPr>
      </w:pPr>
    </w:p>
    <w:p>
      <w:pPr>
        <w:jc w:val="center"/>
        <w:rPr>
          <w:rFonts w:hint="eastAsia" w:ascii="仿宋_GB2312" w:hAnsi="宋体" w:eastAsia="仿宋_GB2312" w:cs="宋体"/>
          <w:b/>
          <w:bCs/>
          <w:sz w:val="48"/>
          <w:szCs w:val="48"/>
          <w:lang w:val="en-US" w:eastAsia="zh-CN"/>
        </w:rPr>
      </w:pPr>
    </w:p>
    <w:p>
      <w:pPr>
        <w:jc w:val="center"/>
        <w:rPr>
          <w:rFonts w:hint="eastAsia" w:ascii="仿宋_GB2312" w:hAnsi="宋体" w:eastAsia="仿宋_GB2312" w:cs="宋体"/>
          <w:b/>
          <w:bCs/>
          <w:sz w:val="48"/>
          <w:szCs w:val="48"/>
          <w:lang w:val="en-US" w:eastAsia="zh-CN"/>
        </w:rPr>
      </w:pPr>
    </w:p>
    <w:p>
      <w:pPr>
        <w:jc w:val="center"/>
        <w:rPr>
          <w:rFonts w:hint="eastAsia" w:ascii="仿宋_GB2312" w:hAnsi="宋体" w:eastAsia="仿宋_GB2312" w:cs="宋体"/>
          <w:b/>
          <w:bCs/>
          <w:sz w:val="48"/>
          <w:szCs w:val="48"/>
          <w:lang w:val="en-US" w:eastAsia="zh-CN"/>
        </w:rPr>
      </w:pPr>
    </w:p>
    <w:p>
      <w:pPr>
        <w:jc w:val="center"/>
        <w:rPr>
          <w:rFonts w:hint="eastAsia" w:ascii="仿宋_GB2312" w:hAnsi="宋体" w:eastAsia="仿宋_GB2312" w:cs="宋体"/>
          <w:b/>
          <w:bCs/>
          <w:sz w:val="48"/>
          <w:szCs w:val="48"/>
          <w:lang w:val="en-US" w:eastAsia="zh-CN"/>
        </w:rPr>
      </w:pPr>
    </w:p>
    <w:p>
      <w:pPr>
        <w:jc w:val="center"/>
        <w:rPr>
          <w:rFonts w:hint="eastAsia" w:ascii="仿宋_GB2312" w:hAnsi="宋体" w:eastAsia="仿宋_GB2312" w:cs="宋体"/>
          <w:b/>
          <w:bCs/>
          <w:sz w:val="48"/>
          <w:szCs w:val="48"/>
          <w:lang w:val="en-US" w:eastAsia="zh-CN"/>
        </w:rPr>
      </w:pPr>
    </w:p>
    <w:p>
      <w:pPr>
        <w:jc w:val="center"/>
        <w:rPr>
          <w:rFonts w:hint="default" w:ascii="仿宋_GB2312" w:hAnsi="宋体" w:eastAsia="仿宋_GB2312" w:cs="宋体"/>
          <w:b/>
          <w:bCs/>
          <w:sz w:val="32"/>
          <w:szCs w:val="32"/>
          <w:lang w:val="en-US" w:eastAsia="zh-CN"/>
        </w:rPr>
      </w:pPr>
      <w:r>
        <w:rPr>
          <w:rFonts w:hint="eastAsia" w:ascii="仿宋_GB2312" w:hAnsi="宋体" w:eastAsia="仿宋_GB2312" w:cs="宋体"/>
          <w:b/>
          <w:bCs/>
          <w:sz w:val="32"/>
          <w:szCs w:val="32"/>
          <w:lang w:val="en-US" w:eastAsia="zh-CN"/>
        </w:rPr>
        <w:t>中石生态环境科技有限公司</w:t>
      </w:r>
    </w:p>
    <w:p>
      <w:pPr>
        <w:jc w:val="center"/>
        <w:rPr>
          <w:rFonts w:hint="default" w:ascii="仿宋_GB2312" w:hAnsi="宋体" w:eastAsia="仿宋_GB2312" w:cs="宋体"/>
          <w:b/>
          <w:bCs/>
          <w:sz w:val="32"/>
          <w:szCs w:val="32"/>
          <w:lang w:val="en-US" w:eastAsia="zh-CN"/>
        </w:rPr>
      </w:pPr>
      <w:r>
        <w:rPr>
          <w:rFonts w:hint="eastAsia" w:ascii="仿宋_GB2312" w:hAnsi="宋体" w:eastAsia="仿宋_GB2312" w:cs="宋体"/>
          <w:b/>
          <w:bCs/>
          <w:sz w:val="32"/>
          <w:szCs w:val="32"/>
          <w:lang w:val="en-US" w:eastAsia="zh-CN"/>
        </w:rPr>
        <w:t>二〇二〇年十二月</w:t>
      </w:r>
    </w:p>
    <w:p>
      <w:pPr>
        <w:jc w:val="center"/>
        <w:rPr>
          <w:rFonts w:hint="default" w:ascii="仿宋_GB2312" w:hAnsi="宋体" w:eastAsia="仿宋_GB2312" w:cs="宋体"/>
          <w:b/>
          <w:bCs/>
          <w:sz w:val="48"/>
          <w:szCs w:val="48"/>
          <w:lang w:val="en-US" w:eastAsia="zh-CN"/>
        </w:rPr>
      </w:pPr>
      <w:r>
        <w:rPr>
          <w:rFonts w:hint="default" w:ascii="仿宋_GB2312" w:hAnsi="宋体" w:eastAsia="仿宋_GB2312" w:cs="宋体"/>
          <w:b/>
          <w:bCs/>
          <w:sz w:val="48"/>
          <w:szCs w:val="48"/>
          <w:lang w:val="en-US" w:eastAsia="zh-CN"/>
        </w:rPr>
        <w:br w:type="page"/>
      </w:r>
    </w:p>
    <w:p>
      <w:pPr>
        <w:jc w:val="center"/>
        <w:rPr>
          <w:rFonts w:hint="default" w:ascii="仿宋_GB2312" w:hAnsi="宋体" w:eastAsia="仿宋_GB2312" w:cs="宋体"/>
          <w:b/>
          <w:bCs/>
          <w:sz w:val="48"/>
          <w:szCs w:val="48"/>
          <w:lang w:val="en-US" w:eastAsia="zh-CN"/>
        </w:rPr>
      </w:pPr>
    </w:p>
    <w:p>
      <w:pPr>
        <w:jc w:val="center"/>
        <w:rPr>
          <w:rFonts w:hint="eastAsia" w:ascii="仿宋" w:hAnsi="仿宋" w:eastAsia="仿宋" w:cs="仿宋"/>
          <w:b/>
          <w:bCs/>
          <w:sz w:val="36"/>
          <w:szCs w:val="44"/>
          <w:lang w:val="en-US" w:eastAsia="zh-CN"/>
        </w:rPr>
      </w:pPr>
      <w:r>
        <w:rPr>
          <w:rFonts w:hint="eastAsia" w:ascii="仿宋" w:hAnsi="仿宋" w:eastAsia="仿宋" w:cs="仿宋"/>
          <w:b/>
          <w:bCs/>
          <w:sz w:val="36"/>
          <w:szCs w:val="44"/>
          <w:lang w:val="en-US" w:eastAsia="zh-CN"/>
        </w:rPr>
        <w:t>专家评审意见修改说明</w:t>
      </w:r>
    </w:p>
    <w:p>
      <w:pPr>
        <w:jc w:val="both"/>
        <w:rPr>
          <w:rFonts w:hint="eastAsia" w:ascii="仿宋" w:hAnsi="仿宋" w:eastAsia="仿宋" w:cs="仿宋"/>
          <w:color w:val="auto"/>
          <w:sz w:val="24"/>
          <w:szCs w:val="32"/>
        </w:rPr>
      </w:pPr>
      <w:r>
        <w:rPr>
          <w:rFonts w:hint="eastAsia" w:ascii="仿宋" w:hAnsi="仿宋" w:eastAsia="仿宋" w:cs="仿宋"/>
          <w:color w:val="auto"/>
          <w:sz w:val="28"/>
          <w:szCs w:val="36"/>
        </w:rPr>
        <w:t>根据</w:t>
      </w:r>
      <w:r>
        <w:rPr>
          <w:rFonts w:hint="eastAsia" w:ascii="仿宋" w:hAnsi="仿宋" w:eastAsia="仿宋" w:cs="仿宋"/>
          <w:sz w:val="28"/>
          <w:szCs w:val="36"/>
          <w:lang w:val="en-US" w:eastAsia="zh-CN"/>
        </w:rPr>
        <w:t>专家</w:t>
      </w:r>
      <w:r>
        <w:rPr>
          <w:rFonts w:hint="eastAsia" w:ascii="仿宋" w:hAnsi="仿宋" w:eastAsia="仿宋" w:cs="仿宋"/>
          <w:color w:val="auto"/>
          <w:sz w:val="28"/>
          <w:szCs w:val="36"/>
        </w:rPr>
        <w:t>评审意见，本报告做了如下修改：</w:t>
      </w:r>
    </w:p>
    <w:tbl>
      <w:tblPr>
        <w:tblStyle w:val="13"/>
        <w:tblW w:w="9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4"/>
        <w:gridCol w:w="3524"/>
        <w:gridCol w:w="4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7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Lines="0" w:afterLines="0" w:line="360" w:lineRule="auto"/>
              <w:ind w:firstLine="0" w:firstLineChars="0"/>
              <w:jc w:val="center"/>
              <w:textAlignment w:val="auto"/>
              <w:rPr>
                <w:rFonts w:hint="eastAsia" w:ascii="仿宋" w:hAnsi="仿宋" w:eastAsia="仿宋" w:cs="仿宋"/>
                <w:b/>
                <w:color w:val="auto"/>
                <w:sz w:val="32"/>
                <w:szCs w:val="32"/>
                <w:lang w:eastAsia="zh-CN"/>
              </w:rPr>
            </w:pPr>
            <w:r>
              <w:rPr>
                <w:rFonts w:hint="eastAsia" w:ascii="仿宋" w:hAnsi="仿宋" w:eastAsia="仿宋" w:cs="仿宋"/>
                <w:b/>
                <w:color w:val="auto"/>
                <w:sz w:val="32"/>
                <w:szCs w:val="32"/>
                <w:lang w:val="en-US" w:eastAsia="zh-CN"/>
              </w:rPr>
              <w:t>序号</w:t>
            </w:r>
          </w:p>
        </w:tc>
        <w:tc>
          <w:tcPr>
            <w:tcW w:w="352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Lines="0" w:afterLines="0" w:line="360" w:lineRule="auto"/>
              <w:ind w:firstLine="0" w:firstLineChars="0"/>
              <w:jc w:val="center"/>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修改</w:t>
            </w:r>
            <w:r>
              <w:rPr>
                <w:rFonts w:hint="eastAsia" w:ascii="仿宋" w:hAnsi="仿宋" w:eastAsia="仿宋" w:cs="仿宋"/>
                <w:b/>
                <w:color w:val="auto"/>
                <w:sz w:val="32"/>
                <w:szCs w:val="32"/>
              </w:rPr>
              <w:t>意见</w:t>
            </w:r>
          </w:p>
        </w:tc>
        <w:tc>
          <w:tcPr>
            <w:tcW w:w="433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Lines="0" w:afterLines="0" w:line="360" w:lineRule="auto"/>
              <w:ind w:firstLine="0" w:firstLineChars="0"/>
              <w:jc w:val="center"/>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rPr>
              <w:t>修改情况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74" w:type="dxa"/>
            <w:vAlign w:val="center"/>
          </w:tcPr>
          <w:p>
            <w:pPr>
              <w:pStyle w:val="5"/>
              <w:keepNext w:val="0"/>
              <w:keepLines w:val="0"/>
              <w:pageBreakBefore w:val="0"/>
              <w:widowControl w:val="0"/>
              <w:kinsoku/>
              <w:wordWrap/>
              <w:overflowPunct/>
              <w:topLinePunct w:val="0"/>
              <w:bidi w:val="0"/>
              <w:adjustRightInd/>
              <w:snapToGrid/>
              <w:spacing w:line="360" w:lineRule="auto"/>
              <w:ind w:left="0" w:leftChars="0" w:firstLine="0" w:firstLine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p>
        </w:tc>
        <w:tc>
          <w:tcPr>
            <w:tcW w:w="352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Lines="0" w:afterLines="0" w:line="360" w:lineRule="auto"/>
              <w:ind w:firstLine="0" w:firstLineChars="0"/>
              <w:jc w:val="center"/>
              <w:textAlignment w:val="auto"/>
              <w:rPr>
                <w:rFonts w:hint="eastAsia" w:ascii="仿宋" w:hAnsi="仿宋" w:eastAsia="仿宋" w:cs="仿宋"/>
                <w:b/>
                <w:color w:val="auto"/>
                <w:sz w:val="24"/>
                <w:szCs w:val="24"/>
                <w:lang w:val="en-US" w:eastAsia="zh-CN"/>
              </w:rPr>
            </w:pPr>
            <w:r>
              <w:rPr>
                <w:rFonts w:hint="eastAsia" w:ascii="仿宋" w:hAnsi="仿宋" w:eastAsia="仿宋" w:cs="仿宋"/>
                <w:sz w:val="24"/>
                <w:szCs w:val="24"/>
                <w:lang w:val="en-US" w:eastAsia="zh-CN"/>
              </w:rPr>
              <w:t>完善并更新编制依据，完善规划与宁乡市菁华铺镇生态文明建设领域相关规划的衔接说明</w:t>
            </w:r>
          </w:p>
        </w:tc>
        <w:tc>
          <w:tcPr>
            <w:tcW w:w="433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Lines="0" w:afterLines="0" w:line="360" w:lineRule="auto"/>
              <w:ind w:firstLine="0" w:firstLineChars="0"/>
              <w:jc w:val="both"/>
              <w:textAlignment w:val="auto"/>
              <w:rPr>
                <w:rFonts w:hint="eastAsia" w:ascii="仿宋" w:hAnsi="仿宋" w:eastAsia="仿宋" w:cs="仿宋"/>
                <w:b/>
                <w:color w:val="auto"/>
                <w:kern w:val="2"/>
                <w:sz w:val="24"/>
                <w:szCs w:val="24"/>
                <w:lang w:val="en-US" w:eastAsia="zh-CN" w:bidi="ar-SA"/>
              </w:rPr>
            </w:pPr>
            <w:r>
              <w:rPr>
                <w:rFonts w:hint="eastAsia" w:ascii="仿宋" w:hAnsi="仿宋" w:eastAsia="仿宋" w:cs="仿宋"/>
                <w:sz w:val="24"/>
                <w:szCs w:val="24"/>
                <w:lang w:val="en-US" w:eastAsia="zh-CN"/>
              </w:rPr>
              <w:t>已完善并更新编制依据（P1-2），已完善规划与宁乡市菁华铺镇生态文明建设领域相关规划的衔接说明(P8-10)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74" w:type="dxa"/>
            <w:vAlign w:val="center"/>
          </w:tcPr>
          <w:p>
            <w:pPr>
              <w:pStyle w:val="5"/>
              <w:keepNext w:val="0"/>
              <w:keepLines w:val="0"/>
              <w:pageBreakBefore w:val="0"/>
              <w:widowControl w:val="0"/>
              <w:kinsoku/>
              <w:wordWrap/>
              <w:overflowPunct/>
              <w:topLinePunct w:val="0"/>
              <w:bidi w:val="0"/>
              <w:adjustRightInd/>
              <w:snapToGrid/>
              <w:spacing w:line="360" w:lineRule="auto"/>
              <w:ind w:left="0" w:leftChars="0" w:firstLine="0" w:firstLine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p>
        </w:tc>
        <w:tc>
          <w:tcPr>
            <w:tcW w:w="352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Lines="0" w:afterLines="0" w:line="360" w:lineRule="auto"/>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完善区域存在的问题分析，有针对性的提出重点任务</w:t>
            </w:r>
          </w:p>
        </w:tc>
        <w:tc>
          <w:tcPr>
            <w:tcW w:w="433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Lines="0" w:afterLines="0" w:line="360" w:lineRule="auto"/>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已完善区域存在的问题分析(P5)，已针对性的提出重点任务(P8-18)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74" w:type="dxa"/>
            <w:vAlign w:val="center"/>
          </w:tcPr>
          <w:p>
            <w:pPr>
              <w:pStyle w:val="5"/>
              <w:keepNext w:val="0"/>
              <w:keepLines w:val="0"/>
              <w:pageBreakBefore w:val="0"/>
              <w:widowControl w:val="0"/>
              <w:kinsoku/>
              <w:wordWrap/>
              <w:overflowPunct/>
              <w:topLinePunct w:val="0"/>
              <w:bidi w:val="0"/>
              <w:adjustRightInd/>
              <w:snapToGrid/>
              <w:spacing w:line="360" w:lineRule="auto"/>
              <w:ind w:left="0" w:leftChars="0" w:firstLine="0" w:firstLine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p>
        </w:tc>
        <w:tc>
          <w:tcPr>
            <w:tcW w:w="352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Lines="0" w:afterLines="0" w:line="36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核实指标现状值，优化指标目标值，有针对性的提出重点工程</w:t>
            </w:r>
          </w:p>
        </w:tc>
        <w:tc>
          <w:tcPr>
            <w:tcW w:w="4334" w:type="dxa"/>
            <w:vAlign w:val="center"/>
          </w:tcPr>
          <w:p>
            <w:pPr>
              <w:pStyle w:val="26"/>
              <w:keepNext w:val="0"/>
              <w:keepLines w:val="0"/>
              <w:pageBreakBefore w:val="0"/>
              <w:widowControl w:val="0"/>
              <w:kinsoku/>
              <w:wordWrap/>
              <w:overflowPunct/>
              <w:topLinePunct w:val="0"/>
              <w:autoSpaceDE w:val="0"/>
              <w:autoSpaceDN w:val="0"/>
              <w:bidi w:val="0"/>
              <w:adjustRightInd/>
              <w:snapToGrid/>
              <w:spacing w:beforeLines="0" w:afterLines="0" w:line="360" w:lineRule="auto"/>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已核实指标现状值(附件），已优化指标目标值（P7），已针对性的提出重点工程(P26)</w:t>
            </w:r>
          </w:p>
        </w:tc>
      </w:tr>
    </w:tbl>
    <w:p>
      <w:pPr>
        <w:rPr>
          <w:rFonts w:hint="default" w:ascii="仿宋_GB2312" w:hAnsi="宋体" w:eastAsia="仿宋_GB2312" w:cs="宋体"/>
          <w:b/>
          <w:bCs/>
          <w:sz w:val="48"/>
          <w:szCs w:val="48"/>
          <w:lang w:val="en-US" w:eastAsia="zh-CN"/>
        </w:rPr>
      </w:pPr>
      <w:r>
        <w:rPr>
          <w:rFonts w:hint="default" w:ascii="仿宋_GB2312" w:hAnsi="宋体" w:eastAsia="仿宋_GB2312" w:cs="宋体"/>
          <w:b/>
          <w:bCs/>
          <w:sz w:val="48"/>
          <w:szCs w:val="48"/>
          <w:lang w:val="en-US" w:eastAsia="zh-CN"/>
        </w:rPr>
        <w:br w:type="page"/>
      </w:r>
    </w:p>
    <w:p>
      <w:pPr>
        <w:rPr>
          <w:rFonts w:hint="default" w:ascii="仿宋_GB2312" w:hAnsi="宋体" w:eastAsia="仿宋_GB2312" w:cs="宋体"/>
          <w:b/>
          <w:bCs/>
          <w:sz w:val="48"/>
          <w:szCs w:val="48"/>
          <w:lang w:val="en-US" w:eastAsia="zh-CN"/>
        </w:rPr>
      </w:pPr>
    </w:p>
    <w:sdt>
      <w:sdtPr>
        <w:rPr>
          <w:rFonts w:ascii="宋体" w:hAnsi="宋体" w:eastAsia="宋体" w:cstheme="minorBidi"/>
          <w:kern w:val="2"/>
          <w:sz w:val="21"/>
          <w:szCs w:val="24"/>
          <w:lang w:val="en-US" w:eastAsia="zh-CN" w:bidi="ar-SA"/>
        </w:rPr>
        <w:id w:val="147472176"/>
        <w15:color w:val="DBDBDB"/>
        <w:docPartObj>
          <w:docPartGallery w:val="Table of Contents"/>
          <w:docPartUnique/>
        </w:docPartObj>
      </w:sdtPr>
      <w:sdtEndPr>
        <w:rPr>
          <w:rFonts w:ascii="宋体" w:hAnsi="宋体" w:eastAsia="宋体" w:cstheme="minorBidi"/>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b/>
              <w:bCs/>
              <w:sz w:val="36"/>
              <w:szCs w:val="44"/>
            </w:rPr>
          </w:pPr>
          <w:r>
            <w:rPr>
              <w:rFonts w:ascii="宋体" w:hAnsi="宋体" w:eastAsia="宋体"/>
              <w:b/>
              <w:bCs/>
              <w:sz w:val="36"/>
              <w:szCs w:val="44"/>
            </w:rPr>
            <w:t>目</w:t>
          </w:r>
          <w:r>
            <w:rPr>
              <w:rFonts w:hint="eastAsia" w:ascii="宋体" w:hAnsi="宋体" w:eastAsia="宋体"/>
              <w:b/>
              <w:bCs/>
              <w:sz w:val="36"/>
              <w:szCs w:val="44"/>
              <w:lang w:val="en-US" w:eastAsia="zh-CN"/>
            </w:rPr>
            <w:t xml:space="preserve"> </w:t>
          </w:r>
          <w:r>
            <w:rPr>
              <w:rFonts w:ascii="宋体" w:hAnsi="宋体" w:eastAsia="宋体"/>
              <w:b/>
              <w:bCs/>
              <w:sz w:val="36"/>
              <w:szCs w:val="44"/>
            </w:rPr>
            <w:t>录</w:t>
          </w:r>
        </w:p>
        <w:p>
          <w:pPr>
            <w:pStyle w:val="10"/>
            <w:tabs>
              <w:tab w:val="right" w:leader="dot" w:pos="8306"/>
            </w:tabs>
            <w:rPr>
              <w:rFonts w:hint="eastAsia" w:ascii="仿宋" w:hAnsi="仿宋" w:eastAsia="仿宋" w:cs="仿宋"/>
              <w:sz w:val="28"/>
              <w:szCs w:val="36"/>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TOC \o "1-3" \h \u </w:instrText>
          </w:r>
          <w:r>
            <w:rPr>
              <w:rFonts w:hint="eastAsia" w:ascii="仿宋" w:hAnsi="仿宋" w:eastAsia="仿宋" w:cs="仿宋"/>
              <w:sz w:val="28"/>
              <w:szCs w:val="28"/>
            </w:rPr>
            <w:fldChar w:fldCharType="separate"/>
          </w: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_Toc21224 </w:instrText>
          </w:r>
          <w:r>
            <w:rPr>
              <w:rFonts w:hint="eastAsia" w:ascii="仿宋" w:hAnsi="仿宋" w:eastAsia="仿宋" w:cs="仿宋"/>
              <w:sz w:val="28"/>
              <w:szCs w:val="40"/>
            </w:rPr>
            <w:fldChar w:fldCharType="separate"/>
          </w:r>
          <w:r>
            <w:rPr>
              <w:rFonts w:hint="eastAsia" w:ascii="仿宋" w:hAnsi="仿宋" w:eastAsia="仿宋" w:cs="仿宋"/>
              <w:bCs/>
              <w:sz w:val="28"/>
              <w:szCs w:val="44"/>
              <w:lang w:val="en-US" w:eastAsia="zh-CN"/>
            </w:rPr>
            <w:t>1 总则</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_Toc21224 \h </w:instrText>
          </w:r>
          <w:r>
            <w:rPr>
              <w:rFonts w:hint="eastAsia" w:ascii="仿宋" w:hAnsi="仿宋" w:eastAsia="仿宋" w:cs="仿宋"/>
              <w:sz w:val="28"/>
              <w:szCs w:val="36"/>
            </w:rPr>
            <w:fldChar w:fldCharType="separate"/>
          </w:r>
          <w:r>
            <w:rPr>
              <w:rFonts w:hint="eastAsia" w:ascii="仿宋" w:hAnsi="仿宋" w:eastAsia="仿宋" w:cs="仿宋"/>
              <w:sz w:val="28"/>
              <w:szCs w:val="36"/>
            </w:rPr>
            <w:t>1</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_Toc20969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1.1 任务由来</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_Toc20969 \h </w:instrText>
          </w:r>
          <w:r>
            <w:rPr>
              <w:rFonts w:hint="eastAsia" w:ascii="仿宋" w:hAnsi="仿宋" w:eastAsia="仿宋" w:cs="仿宋"/>
              <w:sz w:val="28"/>
              <w:szCs w:val="36"/>
            </w:rPr>
            <w:fldChar w:fldCharType="separate"/>
          </w:r>
          <w:r>
            <w:rPr>
              <w:rFonts w:hint="eastAsia" w:ascii="仿宋" w:hAnsi="仿宋" w:eastAsia="仿宋" w:cs="仿宋"/>
              <w:sz w:val="28"/>
              <w:szCs w:val="36"/>
            </w:rPr>
            <w:t>1</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_Toc26072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1.2 编制依据</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_Toc26072 \h </w:instrText>
          </w:r>
          <w:r>
            <w:rPr>
              <w:rFonts w:hint="eastAsia" w:ascii="仿宋" w:hAnsi="仿宋" w:eastAsia="仿宋" w:cs="仿宋"/>
              <w:sz w:val="28"/>
              <w:szCs w:val="36"/>
            </w:rPr>
            <w:fldChar w:fldCharType="separate"/>
          </w:r>
          <w:r>
            <w:rPr>
              <w:rFonts w:hint="eastAsia" w:ascii="仿宋" w:hAnsi="仿宋" w:eastAsia="仿宋" w:cs="仿宋"/>
              <w:sz w:val="28"/>
              <w:szCs w:val="36"/>
            </w:rPr>
            <w:t>1</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_Toc12194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1.3 规划原则</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_Toc12194 \h </w:instrText>
          </w:r>
          <w:r>
            <w:rPr>
              <w:rFonts w:hint="eastAsia" w:ascii="仿宋" w:hAnsi="仿宋" w:eastAsia="仿宋" w:cs="仿宋"/>
              <w:sz w:val="28"/>
              <w:szCs w:val="36"/>
            </w:rPr>
            <w:fldChar w:fldCharType="separate"/>
          </w:r>
          <w:r>
            <w:rPr>
              <w:rFonts w:hint="eastAsia" w:ascii="仿宋" w:hAnsi="仿宋" w:eastAsia="仿宋" w:cs="仿宋"/>
              <w:sz w:val="28"/>
              <w:szCs w:val="36"/>
            </w:rPr>
            <w:t>1</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_Toc22579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1.4 规划范围</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_Toc22579 \h </w:instrText>
          </w:r>
          <w:r>
            <w:rPr>
              <w:rFonts w:hint="eastAsia" w:ascii="仿宋" w:hAnsi="仿宋" w:eastAsia="仿宋" w:cs="仿宋"/>
              <w:sz w:val="28"/>
              <w:szCs w:val="36"/>
            </w:rPr>
            <w:fldChar w:fldCharType="separate"/>
          </w:r>
          <w:r>
            <w:rPr>
              <w:rFonts w:hint="eastAsia" w:ascii="仿宋" w:hAnsi="仿宋" w:eastAsia="仿宋" w:cs="仿宋"/>
              <w:sz w:val="28"/>
              <w:szCs w:val="36"/>
            </w:rPr>
            <w:t>2</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_Toc18598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1.5 规划时限</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_Toc18598 \h </w:instrText>
          </w:r>
          <w:r>
            <w:rPr>
              <w:rFonts w:hint="eastAsia" w:ascii="仿宋" w:hAnsi="仿宋" w:eastAsia="仿宋" w:cs="仿宋"/>
              <w:sz w:val="28"/>
              <w:szCs w:val="36"/>
            </w:rPr>
            <w:fldChar w:fldCharType="separate"/>
          </w:r>
          <w:r>
            <w:rPr>
              <w:rFonts w:hint="eastAsia" w:ascii="仿宋" w:hAnsi="仿宋" w:eastAsia="仿宋" w:cs="仿宋"/>
              <w:sz w:val="28"/>
              <w:szCs w:val="36"/>
            </w:rPr>
            <w:t>3</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0"/>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_Toc1293 </w:instrText>
          </w:r>
          <w:r>
            <w:rPr>
              <w:rFonts w:hint="eastAsia" w:ascii="仿宋" w:hAnsi="仿宋" w:eastAsia="仿宋" w:cs="仿宋"/>
              <w:sz w:val="28"/>
              <w:szCs w:val="40"/>
            </w:rPr>
            <w:fldChar w:fldCharType="separate"/>
          </w:r>
          <w:r>
            <w:rPr>
              <w:rFonts w:hint="eastAsia" w:ascii="仿宋" w:hAnsi="仿宋" w:eastAsia="仿宋" w:cs="仿宋"/>
              <w:bCs/>
              <w:sz w:val="28"/>
              <w:szCs w:val="44"/>
              <w:lang w:val="en-US" w:eastAsia="zh-CN"/>
            </w:rPr>
            <w:t>2 现状与问题</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_Toc1293 \h </w:instrText>
          </w:r>
          <w:r>
            <w:rPr>
              <w:rFonts w:hint="eastAsia" w:ascii="仿宋" w:hAnsi="仿宋" w:eastAsia="仿宋" w:cs="仿宋"/>
              <w:sz w:val="28"/>
              <w:szCs w:val="36"/>
            </w:rPr>
            <w:fldChar w:fldCharType="separate"/>
          </w:r>
          <w:r>
            <w:rPr>
              <w:rFonts w:hint="eastAsia" w:ascii="仿宋" w:hAnsi="仿宋" w:eastAsia="仿宋" w:cs="仿宋"/>
              <w:sz w:val="28"/>
              <w:szCs w:val="36"/>
            </w:rPr>
            <w:t>4</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_Toc518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2.1 基本概况</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_Toc518 \h </w:instrText>
          </w:r>
          <w:r>
            <w:rPr>
              <w:rFonts w:hint="eastAsia" w:ascii="仿宋" w:hAnsi="仿宋" w:eastAsia="仿宋" w:cs="仿宋"/>
              <w:sz w:val="28"/>
              <w:szCs w:val="36"/>
            </w:rPr>
            <w:fldChar w:fldCharType="separate"/>
          </w:r>
          <w:r>
            <w:rPr>
              <w:rFonts w:hint="eastAsia" w:ascii="仿宋" w:hAnsi="仿宋" w:eastAsia="仿宋" w:cs="仿宋"/>
              <w:sz w:val="28"/>
              <w:szCs w:val="36"/>
            </w:rPr>
            <w:t>4</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_Toc8764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2.2 创建基础</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_Toc8764 \h </w:instrText>
          </w:r>
          <w:r>
            <w:rPr>
              <w:rFonts w:hint="eastAsia" w:ascii="仿宋" w:hAnsi="仿宋" w:eastAsia="仿宋" w:cs="仿宋"/>
              <w:sz w:val="28"/>
              <w:szCs w:val="36"/>
            </w:rPr>
            <w:fldChar w:fldCharType="separate"/>
          </w:r>
          <w:r>
            <w:rPr>
              <w:rFonts w:hint="eastAsia" w:ascii="仿宋" w:hAnsi="仿宋" w:eastAsia="仿宋" w:cs="仿宋"/>
              <w:sz w:val="28"/>
              <w:szCs w:val="36"/>
            </w:rPr>
            <w:t>4</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_Toc13095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2.3 存在问题</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_Toc13095 \h </w:instrText>
          </w:r>
          <w:r>
            <w:rPr>
              <w:rFonts w:hint="eastAsia" w:ascii="仿宋" w:hAnsi="仿宋" w:eastAsia="仿宋" w:cs="仿宋"/>
              <w:sz w:val="28"/>
              <w:szCs w:val="36"/>
            </w:rPr>
            <w:fldChar w:fldCharType="separate"/>
          </w:r>
          <w:r>
            <w:rPr>
              <w:rFonts w:hint="eastAsia" w:ascii="仿宋" w:hAnsi="仿宋" w:eastAsia="仿宋" w:cs="仿宋"/>
              <w:sz w:val="28"/>
              <w:szCs w:val="36"/>
            </w:rPr>
            <w:t>5</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0"/>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_Toc18159 </w:instrText>
          </w:r>
          <w:r>
            <w:rPr>
              <w:rFonts w:hint="eastAsia" w:ascii="仿宋" w:hAnsi="仿宋" w:eastAsia="仿宋" w:cs="仿宋"/>
              <w:sz w:val="28"/>
              <w:szCs w:val="40"/>
            </w:rPr>
            <w:fldChar w:fldCharType="separate"/>
          </w:r>
          <w:r>
            <w:rPr>
              <w:rFonts w:hint="eastAsia" w:ascii="仿宋" w:hAnsi="仿宋" w:eastAsia="仿宋" w:cs="仿宋"/>
              <w:bCs/>
              <w:sz w:val="28"/>
              <w:szCs w:val="44"/>
              <w:lang w:val="en-US" w:eastAsia="zh-CN"/>
            </w:rPr>
            <w:t>3 规划目标与指标</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_Toc18159 \h </w:instrText>
          </w:r>
          <w:r>
            <w:rPr>
              <w:rFonts w:hint="eastAsia" w:ascii="仿宋" w:hAnsi="仿宋" w:eastAsia="仿宋" w:cs="仿宋"/>
              <w:sz w:val="28"/>
              <w:szCs w:val="36"/>
            </w:rPr>
            <w:fldChar w:fldCharType="separate"/>
          </w:r>
          <w:r>
            <w:rPr>
              <w:rFonts w:hint="eastAsia" w:ascii="仿宋" w:hAnsi="仿宋" w:eastAsia="仿宋" w:cs="仿宋"/>
              <w:sz w:val="28"/>
              <w:szCs w:val="36"/>
            </w:rPr>
            <w:t>6</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_Toc9837 </w:instrText>
          </w:r>
          <w:r>
            <w:rPr>
              <w:rFonts w:hint="eastAsia" w:ascii="仿宋" w:hAnsi="仿宋" w:eastAsia="仿宋" w:cs="仿宋"/>
              <w:sz w:val="28"/>
              <w:szCs w:val="40"/>
            </w:rPr>
            <w:fldChar w:fldCharType="separate"/>
          </w:r>
          <w:r>
            <w:rPr>
              <w:rFonts w:hint="eastAsia" w:ascii="仿宋" w:hAnsi="仿宋" w:eastAsia="仿宋" w:cs="仿宋"/>
              <w:bCs/>
              <w:sz w:val="28"/>
              <w:szCs w:val="44"/>
              <w:lang w:val="en-US" w:eastAsia="zh-CN"/>
            </w:rPr>
            <w:t>3.1 规划目标</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_Toc9837 \h </w:instrText>
          </w:r>
          <w:r>
            <w:rPr>
              <w:rFonts w:hint="eastAsia" w:ascii="仿宋" w:hAnsi="仿宋" w:eastAsia="仿宋" w:cs="仿宋"/>
              <w:sz w:val="28"/>
              <w:szCs w:val="36"/>
            </w:rPr>
            <w:fldChar w:fldCharType="separate"/>
          </w:r>
          <w:r>
            <w:rPr>
              <w:rFonts w:hint="eastAsia" w:ascii="仿宋" w:hAnsi="仿宋" w:eastAsia="仿宋" w:cs="仿宋"/>
              <w:sz w:val="28"/>
              <w:szCs w:val="36"/>
            </w:rPr>
            <w:t>6</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_Toc11300 </w:instrText>
          </w:r>
          <w:r>
            <w:rPr>
              <w:rFonts w:hint="eastAsia" w:ascii="仿宋" w:hAnsi="仿宋" w:eastAsia="仿宋" w:cs="仿宋"/>
              <w:sz w:val="28"/>
              <w:szCs w:val="40"/>
            </w:rPr>
            <w:fldChar w:fldCharType="separate"/>
          </w:r>
          <w:r>
            <w:rPr>
              <w:rFonts w:hint="eastAsia" w:ascii="仿宋" w:hAnsi="仿宋" w:eastAsia="仿宋" w:cs="仿宋"/>
              <w:bCs/>
              <w:sz w:val="28"/>
              <w:szCs w:val="44"/>
              <w:lang w:val="en-US" w:eastAsia="zh-CN"/>
            </w:rPr>
            <w:t>3.2 规划指标</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_Toc11300 \h </w:instrText>
          </w:r>
          <w:r>
            <w:rPr>
              <w:rFonts w:hint="eastAsia" w:ascii="仿宋" w:hAnsi="仿宋" w:eastAsia="仿宋" w:cs="仿宋"/>
              <w:sz w:val="28"/>
              <w:szCs w:val="36"/>
            </w:rPr>
            <w:fldChar w:fldCharType="separate"/>
          </w:r>
          <w:r>
            <w:rPr>
              <w:rFonts w:hint="eastAsia" w:ascii="仿宋" w:hAnsi="仿宋" w:eastAsia="仿宋" w:cs="仿宋"/>
              <w:sz w:val="28"/>
              <w:szCs w:val="36"/>
            </w:rPr>
            <w:t>6</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0"/>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_Toc4191 </w:instrText>
          </w:r>
          <w:r>
            <w:rPr>
              <w:rFonts w:hint="eastAsia" w:ascii="仿宋" w:hAnsi="仿宋" w:eastAsia="仿宋" w:cs="仿宋"/>
              <w:sz w:val="28"/>
              <w:szCs w:val="40"/>
            </w:rPr>
            <w:fldChar w:fldCharType="separate"/>
          </w:r>
          <w:r>
            <w:rPr>
              <w:rFonts w:hint="eastAsia" w:ascii="仿宋" w:hAnsi="仿宋" w:eastAsia="仿宋" w:cs="仿宋"/>
              <w:bCs/>
              <w:sz w:val="28"/>
              <w:szCs w:val="44"/>
              <w:lang w:val="en-US" w:eastAsia="zh-CN"/>
            </w:rPr>
            <w:t>4 重点任务</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_Toc4191 \h </w:instrText>
          </w:r>
          <w:r>
            <w:rPr>
              <w:rFonts w:hint="eastAsia" w:ascii="仿宋" w:hAnsi="仿宋" w:eastAsia="仿宋" w:cs="仿宋"/>
              <w:sz w:val="28"/>
              <w:szCs w:val="36"/>
            </w:rPr>
            <w:fldChar w:fldCharType="separate"/>
          </w:r>
          <w:r>
            <w:rPr>
              <w:rFonts w:hint="eastAsia" w:ascii="仿宋" w:hAnsi="仿宋" w:eastAsia="仿宋" w:cs="仿宋"/>
              <w:sz w:val="28"/>
              <w:szCs w:val="36"/>
            </w:rPr>
            <w:t>8</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_Toc7612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4.1 优化村域空间布局</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_Toc7612 \h </w:instrText>
          </w:r>
          <w:r>
            <w:rPr>
              <w:rFonts w:hint="eastAsia" w:ascii="仿宋" w:hAnsi="仿宋" w:eastAsia="仿宋" w:cs="仿宋"/>
              <w:sz w:val="28"/>
              <w:szCs w:val="36"/>
            </w:rPr>
            <w:fldChar w:fldCharType="separate"/>
          </w:r>
          <w:r>
            <w:rPr>
              <w:rFonts w:hint="eastAsia" w:ascii="仿宋" w:hAnsi="仿宋" w:eastAsia="仿宋" w:cs="仿宋"/>
              <w:sz w:val="28"/>
              <w:szCs w:val="36"/>
            </w:rPr>
            <w:t>8</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7"/>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_Toc14570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4.1.1 严格落实空间管制分区规划</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_Toc14570 \h </w:instrText>
          </w:r>
          <w:r>
            <w:rPr>
              <w:rFonts w:hint="eastAsia" w:ascii="仿宋" w:hAnsi="仿宋" w:eastAsia="仿宋" w:cs="仿宋"/>
              <w:sz w:val="28"/>
              <w:szCs w:val="36"/>
            </w:rPr>
            <w:fldChar w:fldCharType="separate"/>
          </w:r>
          <w:r>
            <w:rPr>
              <w:rFonts w:hint="eastAsia" w:ascii="仿宋" w:hAnsi="仿宋" w:eastAsia="仿宋" w:cs="仿宋"/>
              <w:sz w:val="28"/>
              <w:szCs w:val="36"/>
            </w:rPr>
            <w:t>8</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7"/>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_Toc2364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4.1.2 严格落实村域产业布局规划</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_Toc2364 \h </w:instrText>
          </w:r>
          <w:r>
            <w:rPr>
              <w:rFonts w:hint="eastAsia" w:ascii="仿宋" w:hAnsi="仿宋" w:eastAsia="仿宋" w:cs="仿宋"/>
              <w:sz w:val="28"/>
              <w:szCs w:val="36"/>
            </w:rPr>
            <w:fldChar w:fldCharType="separate"/>
          </w:r>
          <w:r>
            <w:rPr>
              <w:rFonts w:hint="eastAsia" w:ascii="仿宋" w:hAnsi="仿宋" w:eastAsia="仿宋" w:cs="仿宋"/>
              <w:sz w:val="28"/>
              <w:szCs w:val="36"/>
            </w:rPr>
            <w:t>9</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_Toc12198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4.2 发展特色优势生态产业</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_Toc12198 \h </w:instrText>
          </w:r>
          <w:r>
            <w:rPr>
              <w:rFonts w:hint="eastAsia" w:ascii="仿宋" w:hAnsi="仿宋" w:eastAsia="仿宋" w:cs="仿宋"/>
              <w:sz w:val="28"/>
              <w:szCs w:val="36"/>
            </w:rPr>
            <w:fldChar w:fldCharType="separate"/>
          </w:r>
          <w:r>
            <w:rPr>
              <w:rFonts w:hint="eastAsia" w:ascii="仿宋" w:hAnsi="仿宋" w:eastAsia="仿宋" w:cs="仿宋"/>
              <w:sz w:val="28"/>
              <w:szCs w:val="36"/>
            </w:rPr>
            <w:t>11</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7"/>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_Toc16248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4.2.1 打造“美丽乡村”品牌</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_Toc16248 \h </w:instrText>
          </w:r>
          <w:r>
            <w:rPr>
              <w:rFonts w:hint="eastAsia" w:ascii="仿宋" w:hAnsi="仿宋" w:eastAsia="仿宋" w:cs="仿宋"/>
              <w:sz w:val="28"/>
              <w:szCs w:val="36"/>
            </w:rPr>
            <w:fldChar w:fldCharType="separate"/>
          </w:r>
          <w:r>
            <w:rPr>
              <w:rFonts w:hint="eastAsia" w:ascii="仿宋" w:hAnsi="仿宋" w:eastAsia="仿宋" w:cs="仿宋"/>
              <w:sz w:val="28"/>
              <w:szCs w:val="36"/>
            </w:rPr>
            <w:t>11</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7"/>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_Toc27462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4.2.2 大力开展庭院经济</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_Toc27462 \h </w:instrText>
          </w:r>
          <w:r>
            <w:rPr>
              <w:rFonts w:hint="eastAsia" w:ascii="仿宋" w:hAnsi="仿宋" w:eastAsia="仿宋" w:cs="仿宋"/>
              <w:sz w:val="28"/>
              <w:szCs w:val="36"/>
            </w:rPr>
            <w:fldChar w:fldCharType="separate"/>
          </w:r>
          <w:r>
            <w:rPr>
              <w:rFonts w:hint="eastAsia" w:ascii="仿宋" w:hAnsi="仿宋" w:eastAsia="仿宋" w:cs="仿宋"/>
              <w:sz w:val="28"/>
              <w:szCs w:val="36"/>
            </w:rPr>
            <w:t>11</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7"/>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_Toc26813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4.2.3 大力发展生态农业</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_Toc26813 \h </w:instrText>
          </w:r>
          <w:r>
            <w:rPr>
              <w:rFonts w:hint="eastAsia" w:ascii="仿宋" w:hAnsi="仿宋" w:eastAsia="仿宋" w:cs="仿宋"/>
              <w:sz w:val="28"/>
              <w:szCs w:val="36"/>
            </w:rPr>
            <w:fldChar w:fldCharType="separate"/>
          </w:r>
          <w:r>
            <w:rPr>
              <w:rFonts w:hint="eastAsia" w:ascii="仿宋" w:hAnsi="仿宋" w:eastAsia="仿宋" w:cs="仿宋"/>
              <w:sz w:val="28"/>
              <w:szCs w:val="36"/>
            </w:rPr>
            <w:t>12</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_Toc30115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4.3 保护乡村生态环境</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_Toc30115 \h </w:instrText>
          </w:r>
          <w:r>
            <w:rPr>
              <w:rFonts w:hint="eastAsia" w:ascii="仿宋" w:hAnsi="仿宋" w:eastAsia="仿宋" w:cs="仿宋"/>
              <w:sz w:val="28"/>
              <w:szCs w:val="36"/>
            </w:rPr>
            <w:fldChar w:fldCharType="separate"/>
          </w:r>
          <w:r>
            <w:rPr>
              <w:rFonts w:hint="eastAsia" w:ascii="仿宋" w:hAnsi="仿宋" w:eastAsia="仿宋" w:cs="仿宋"/>
              <w:sz w:val="28"/>
              <w:szCs w:val="36"/>
            </w:rPr>
            <w:t>13</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7"/>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_Toc26428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4.3.1 水环境污染治理</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_Toc26428 \h </w:instrText>
          </w:r>
          <w:r>
            <w:rPr>
              <w:rFonts w:hint="eastAsia" w:ascii="仿宋" w:hAnsi="仿宋" w:eastAsia="仿宋" w:cs="仿宋"/>
              <w:sz w:val="28"/>
              <w:szCs w:val="36"/>
            </w:rPr>
            <w:fldChar w:fldCharType="separate"/>
          </w:r>
          <w:r>
            <w:rPr>
              <w:rFonts w:hint="eastAsia" w:ascii="仿宋" w:hAnsi="仿宋" w:eastAsia="仿宋" w:cs="仿宋"/>
              <w:sz w:val="28"/>
              <w:szCs w:val="36"/>
            </w:rPr>
            <w:t>13</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7"/>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_Toc4352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4.3.2 大气环境污染防治</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_Toc4352 \h </w:instrText>
          </w:r>
          <w:r>
            <w:rPr>
              <w:rFonts w:hint="eastAsia" w:ascii="仿宋" w:hAnsi="仿宋" w:eastAsia="仿宋" w:cs="仿宋"/>
              <w:sz w:val="28"/>
              <w:szCs w:val="36"/>
            </w:rPr>
            <w:fldChar w:fldCharType="separate"/>
          </w:r>
          <w:r>
            <w:rPr>
              <w:rFonts w:hint="eastAsia" w:ascii="仿宋" w:hAnsi="仿宋" w:eastAsia="仿宋" w:cs="仿宋"/>
              <w:sz w:val="28"/>
              <w:szCs w:val="36"/>
            </w:rPr>
            <w:t>14</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7"/>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_Toc442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4.3.3 声环境污染防治</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_Toc442 \h </w:instrText>
          </w:r>
          <w:r>
            <w:rPr>
              <w:rFonts w:hint="eastAsia" w:ascii="仿宋" w:hAnsi="仿宋" w:eastAsia="仿宋" w:cs="仿宋"/>
              <w:sz w:val="28"/>
              <w:szCs w:val="36"/>
            </w:rPr>
            <w:fldChar w:fldCharType="separate"/>
          </w:r>
          <w:r>
            <w:rPr>
              <w:rFonts w:hint="eastAsia" w:ascii="仿宋" w:hAnsi="仿宋" w:eastAsia="仿宋" w:cs="仿宋"/>
              <w:sz w:val="28"/>
              <w:szCs w:val="36"/>
            </w:rPr>
            <w:t>14</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7"/>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_Toc26736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4.3.4 土壤环境污染防治</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_Toc26736 \h </w:instrText>
          </w:r>
          <w:r>
            <w:rPr>
              <w:rFonts w:hint="eastAsia" w:ascii="仿宋" w:hAnsi="仿宋" w:eastAsia="仿宋" w:cs="仿宋"/>
              <w:sz w:val="28"/>
              <w:szCs w:val="36"/>
            </w:rPr>
            <w:fldChar w:fldCharType="separate"/>
          </w:r>
          <w:r>
            <w:rPr>
              <w:rFonts w:hint="eastAsia" w:ascii="仿宋" w:hAnsi="仿宋" w:eastAsia="仿宋" w:cs="仿宋"/>
              <w:sz w:val="28"/>
              <w:szCs w:val="36"/>
            </w:rPr>
            <w:t>14</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7"/>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_Toc16593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4.3.5 固体废物综合治理</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_Toc16593 \h </w:instrText>
          </w:r>
          <w:r>
            <w:rPr>
              <w:rFonts w:hint="eastAsia" w:ascii="仿宋" w:hAnsi="仿宋" w:eastAsia="仿宋" w:cs="仿宋"/>
              <w:sz w:val="28"/>
              <w:szCs w:val="36"/>
            </w:rPr>
            <w:fldChar w:fldCharType="separate"/>
          </w:r>
          <w:r>
            <w:rPr>
              <w:rFonts w:hint="eastAsia" w:ascii="仿宋" w:hAnsi="仿宋" w:eastAsia="仿宋" w:cs="仿宋"/>
              <w:sz w:val="28"/>
              <w:szCs w:val="36"/>
            </w:rPr>
            <w:t>15</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7"/>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_Toc11410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4.3.6 加强生态环境防护</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_Toc11410 \h </w:instrText>
          </w:r>
          <w:r>
            <w:rPr>
              <w:rFonts w:hint="eastAsia" w:ascii="仿宋" w:hAnsi="仿宋" w:eastAsia="仿宋" w:cs="仿宋"/>
              <w:sz w:val="28"/>
              <w:szCs w:val="36"/>
            </w:rPr>
            <w:fldChar w:fldCharType="separate"/>
          </w:r>
          <w:r>
            <w:rPr>
              <w:rFonts w:hint="eastAsia" w:ascii="仿宋" w:hAnsi="仿宋" w:eastAsia="仿宋" w:cs="仿宋"/>
              <w:sz w:val="28"/>
              <w:szCs w:val="36"/>
            </w:rPr>
            <w:t>16</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_Toc31570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4.4 完善生态文化制度</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_Toc31570 \h </w:instrText>
          </w:r>
          <w:r>
            <w:rPr>
              <w:rFonts w:hint="eastAsia" w:ascii="仿宋" w:hAnsi="仿宋" w:eastAsia="仿宋" w:cs="仿宋"/>
              <w:sz w:val="28"/>
              <w:szCs w:val="36"/>
            </w:rPr>
            <w:fldChar w:fldCharType="separate"/>
          </w:r>
          <w:r>
            <w:rPr>
              <w:rFonts w:hint="eastAsia" w:ascii="仿宋" w:hAnsi="仿宋" w:eastAsia="仿宋" w:cs="仿宋"/>
              <w:sz w:val="28"/>
              <w:szCs w:val="36"/>
            </w:rPr>
            <w:t>16</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0"/>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_Toc18169 </w:instrText>
          </w:r>
          <w:r>
            <w:rPr>
              <w:rFonts w:hint="eastAsia" w:ascii="仿宋" w:hAnsi="仿宋" w:eastAsia="仿宋" w:cs="仿宋"/>
              <w:sz w:val="28"/>
              <w:szCs w:val="40"/>
            </w:rPr>
            <w:fldChar w:fldCharType="separate"/>
          </w:r>
          <w:r>
            <w:rPr>
              <w:rFonts w:hint="eastAsia" w:ascii="仿宋" w:hAnsi="仿宋" w:eastAsia="仿宋" w:cs="仿宋"/>
              <w:bCs/>
              <w:sz w:val="28"/>
              <w:szCs w:val="44"/>
              <w:lang w:val="en-US" w:eastAsia="zh-CN"/>
            </w:rPr>
            <w:t>5 重点项目</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_Toc18169 \h </w:instrText>
          </w:r>
          <w:r>
            <w:rPr>
              <w:rFonts w:hint="eastAsia" w:ascii="仿宋" w:hAnsi="仿宋" w:eastAsia="仿宋" w:cs="仿宋"/>
              <w:sz w:val="28"/>
              <w:szCs w:val="36"/>
            </w:rPr>
            <w:fldChar w:fldCharType="separate"/>
          </w:r>
          <w:r>
            <w:rPr>
              <w:rFonts w:hint="eastAsia" w:ascii="仿宋" w:hAnsi="仿宋" w:eastAsia="仿宋" w:cs="仿宋"/>
              <w:sz w:val="28"/>
              <w:szCs w:val="36"/>
            </w:rPr>
            <w:t>19</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0"/>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_Toc12926 </w:instrText>
          </w:r>
          <w:r>
            <w:rPr>
              <w:rFonts w:hint="eastAsia" w:ascii="仿宋" w:hAnsi="仿宋" w:eastAsia="仿宋" w:cs="仿宋"/>
              <w:sz w:val="28"/>
              <w:szCs w:val="40"/>
            </w:rPr>
            <w:fldChar w:fldCharType="separate"/>
          </w:r>
          <w:r>
            <w:rPr>
              <w:rFonts w:hint="eastAsia" w:ascii="仿宋" w:hAnsi="仿宋" w:eastAsia="仿宋" w:cs="仿宋"/>
              <w:bCs/>
              <w:sz w:val="28"/>
              <w:szCs w:val="44"/>
              <w:lang w:val="en-US" w:eastAsia="zh-CN"/>
            </w:rPr>
            <w:t>6 效益分析</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_Toc12926 \h </w:instrText>
          </w:r>
          <w:r>
            <w:rPr>
              <w:rFonts w:hint="eastAsia" w:ascii="仿宋" w:hAnsi="仿宋" w:eastAsia="仿宋" w:cs="仿宋"/>
              <w:sz w:val="28"/>
              <w:szCs w:val="36"/>
            </w:rPr>
            <w:fldChar w:fldCharType="separate"/>
          </w:r>
          <w:r>
            <w:rPr>
              <w:rFonts w:hint="eastAsia" w:ascii="仿宋" w:hAnsi="仿宋" w:eastAsia="仿宋" w:cs="仿宋"/>
              <w:sz w:val="28"/>
              <w:szCs w:val="36"/>
            </w:rPr>
            <w:t>20</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_Toc25078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6.1 环境效益</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_Toc25078 \h </w:instrText>
          </w:r>
          <w:r>
            <w:rPr>
              <w:rFonts w:hint="eastAsia" w:ascii="仿宋" w:hAnsi="仿宋" w:eastAsia="仿宋" w:cs="仿宋"/>
              <w:sz w:val="28"/>
              <w:szCs w:val="36"/>
            </w:rPr>
            <w:fldChar w:fldCharType="separate"/>
          </w:r>
          <w:r>
            <w:rPr>
              <w:rFonts w:hint="eastAsia" w:ascii="仿宋" w:hAnsi="仿宋" w:eastAsia="仿宋" w:cs="仿宋"/>
              <w:sz w:val="28"/>
              <w:szCs w:val="36"/>
            </w:rPr>
            <w:t>20</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_Toc9514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6.2 经济效益</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_Toc9514 \h </w:instrText>
          </w:r>
          <w:r>
            <w:rPr>
              <w:rFonts w:hint="eastAsia" w:ascii="仿宋" w:hAnsi="仿宋" w:eastAsia="仿宋" w:cs="仿宋"/>
              <w:sz w:val="28"/>
              <w:szCs w:val="36"/>
            </w:rPr>
            <w:fldChar w:fldCharType="separate"/>
          </w:r>
          <w:r>
            <w:rPr>
              <w:rFonts w:hint="eastAsia" w:ascii="仿宋" w:hAnsi="仿宋" w:eastAsia="仿宋" w:cs="仿宋"/>
              <w:sz w:val="28"/>
              <w:szCs w:val="36"/>
            </w:rPr>
            <w:t>20</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_Toc12197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6.3 社会效益</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_Toc12197 \h </w:instrText>
          </w:r>
          <w:r>
            <w:rPr>
              <w:rFonts w:hint="eastAsia" w:ascii="仿宋" w:hAnsi="仿宋" w:eastAsia="仿宋" w:cs="仿宋"/>
              <w:sz w:val="28"/>
              <w:szCs w:val="36"/>
            </w:rPr>
            <w:fldChar w:fldCharType="separate"/>
          </w:r>
          <w:r>
            <w:rPr>
              <w:rFonts w:hint="eastAsia" w:ascii="仿宋" w:hAnsi="仿宋" w:eastAsia="仿宋" w:cs="仿宋"/>
              <w:sz w:val="28"/>
              <w:szCs w:val="36"/>
            </w:rPr>
            <w:t>20</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0"/>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_Toc31005 </w:instrText>
          </w:r>
          <w:r>
            <w:rPr>
              <w:rFonts w:hint="eastAsia" w:ascii="仿宋" w:hAnsi="仿宋" w:eastAsia="仿宋" w:cs="仿宋"/>
              <w:sz w:val="28"/>
              <w:szCs w:val="40"/>
            </w:rPr>
            <w:fldChar w:fldCharType="separate"/>
          </w:r>
          <w:r>
            <w:rPr>
              <w:rFonts w:hint="eastAsia" w:ascii="仿宋" w:hAnsi="仿宋" w:eastAsia="仿宋" w:cs="仿宋"/>
              <w:bCs/>
              <w:sz w:val="28"/>
              <w:szCs w:val="44"/>
              <w:lang w:val="en-US" w:eastAsia="zh-CN"/>
            </w:rPr>
            <w:t>7 保障措施与建议</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_Toc31005 \h </w:instrText>
          </w:r>
          <w:r>
            <w:rPr>
              <w:rFonts w:hint="eastAsia" w:ascii="仿宋" w:hAnsi="仿宋" w:eastAsia="仿宋" w:cs="仿宋"/>
              <w:sz w:val="28"/>
              <w:szCs w:val="36"/>
            </w:rPr>
            <w:fldChar w:fldCharType="separate"/>
          </w:r>
          <w:r>
            <w:rPr>
              <w:rFonts w:hint="eastAsia" w:ascii="仿宋" w:hAnsi="仿宋" w:eastAsia="仿宋" w:cs="仿宋"/>
              <w:sz w:val="28"/>
              <w:szCs w:val="36"/>
            </w:rPr>
            <w:t>21</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_Toc29289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7.1 加强组织领导</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_Toc29289 \h </w:instrText>
          </w:r>
          <w:r>
            <w:rPr>
              <w:rFonts w:hint="eastAsia" w:ascii="仿宋" w:hAnsi="仿宋" w:eastAsia="仿宋" w:cs="仿宋"/>
              <w:sz w:val="28"/>
              <w:szCs w:val="36"/>
            </w:rPr>
            <w:fldChar w:fldCharType="separate"/>
          </w:r>
          <w:r>
            <w:rPr>
              <w:rFonts w:hint="eastAsia" w:ascii="仿宋" w:hAnsi="仿宋" w:eastAsia="仿宋" w:cs="仿宋"/>
              <w:sz w:val="28"/>
              <w:szCs w:val="36"/>
            </w:rPr>
            <w:t>21</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_Toc5147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7.2 强化目标考核</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_Toc5147 \h </w:instrText>
          </w:r>
          <w:r>
            <w:rPr>
              <w:rFonts w:hint="eastAsia" w:ascii="仿宋" w:hAnsi="仿宋" w:eastAsia="仿宋" w:cs="仿宋"/>
              <w:sz w:val="28"/>
              <w:szCs w:val="36"/>
            </w:rPr>
            <w:fldChar w:fldCharType="separate"/>
          </w:r>
          <w:r>
            <w:rPr>
              <w:rFonts w:hint="eastAsia" w:ascii="仿宋" w:hAnsi="仿宋" w:eastAsia="仿宋" w:cs="仿宋"/>
              <w:sz w:val="28"/>
              <w:szCs w:val="36"/>
            </w:rPr>
            <w:t>21</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_Toc6713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7.3 完善资金机制</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_Toc6713 \h </w:instrText>
          </w:r>
          <w:r>
            <w:rPr>
              <w:rFonts w:hint="eastAsia" w:ascii="仿宋" w:hAnsi="仿宋" w:eastAsia="仿宋" w:cs="仿宋"/>
              <w:sz w:val="28"/>
              <w:szCs w:val="36"/>
            </w:rPr>
            <w:fldChar w:fldCharType="separate"/>
          </w:r>
          <w:r>
            <w:rPr>
              <w:rFonts w:hint="eastAsia" w:ascii="仿宋" w:hAnsi="仿宋" w:eastAsia="仿宋" w:cs="仿宋"/>
              <w:sz w:val="28"/>
              <w:szCs w:val="36"/>
            </w:rPr>
            <w:t>22</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_Toc19060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7.4 建立管护制度</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_Toc19060 \h </w:instrText>
          </w:r>
          <w:r>
            <w:rPr>
              <w:rFonts w:hint="eastAsia" w:ascii="仿宋" w:hAnsi="仿宋" w:eastAsia="仿宋" w:cs="仿宋"/>
              <w:sz w:val="28"/>
              <w:szCs w:val="36"/>
            </w:rPr>
            <w:fldChar w:fldCharType="separate"/>
          </w:r>
          <w:r>
            <w:rPr>
              <w:rFonts w:hint="eastAsia" w:ascii="仿宋" w:hAnsi="仿宋" w:eastAsia="仿宋" w:cs="仿宋"/>
              <w:sz w:val="28"/>
              <w:szCs w:val="36"/>
            </w:rPr>
            <w:t>22</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_Toc9583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7.5 引导公众参与</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_Toc9583 \h </w:instrText>
          </w:r>
          <w:r>
            <w:rPr>
              <w:rFonts w:hint="eastAsia" w:ascii="仿宋" w:hAnsi="仿宋" w:eastAsia="仿宋" w:cs="仿宋"/>
              <w:sz w:val="28"/>
              <w:szCs w:val="36"/>
            </w:rPr>
            <w:fldChar w:fldCharType="separate"/>
          </w:r>
          <w:r>
            <w:rPr>
              <w:rFonts w:hint="eastAsia" w:ascii="仿宋" w:hAnsi="仿宋" w:eastAsia="仿宋" w:cs="仿宋"/>
              <w:sz w:val="28"/>
              <w:szCs w:val="36"/>
            </w:rPr>
            <w:t>23</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_Toc30503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7.6 建议</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_Toc30503 \h </w:instrText>
          </w:r>
          <w:r>
            <w:rPr>
              <w:rFonts w:hint="eastAsia" w:ascii="仿宋" w:hAnsi="仿宋" w:eastAsia="仿宋" w:cs="仿宋"/>
              <w:sz w:val="28"/>
              <w:szCs w:val="36"/>
            </w:rPr>
            <w:fldChar w:fldCharType="separate"/>
          </w:r>
          <w:r>
            <w:rPr>
              <w:rFonts w:hint="eastAsia" w:ascii="仿宋" w:hAnsi="仿宋" w:eastAsia="仿宋" w:cs="仿宋"/>
              <w:sz w:val="28"/>
              <w:szCs w:val="36"/>
            </w:rPr>
            <w:t>24</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0"/>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_Toc10489 </w:instrText>
          </w:r>
          <w:r>
            <w:rPr>
              <w:rFonts w:hint="eastAsia" w:ascii="仿宋" w:hAnsi="仿宋" w:eastAsia="仿宋" w:cs="仿宋"/>
              <w:sz w:val="28"/>
              <w:szCs w:val="40"/>
            </w:rPr>
            <w:fldChar w:fldCharType="separate"/>
          </w:r>
          <w:r>
            <w:rPr>
              <w:rFonts w:hint="eastAsia" w:ascii="仿宋" w:hAnsi="仿宋" w:eastAsia="仿宋" w:cs="仿宋"/>
              <w:bCs/>
              <w:sz w:val="28"/>
              <w:szCs w:val="44"/>
              <w:lang w:val="en-US" w:eastAsia="zh-CN"/>
            </w:rPr>
            <w:t>8 规划附件</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_Toc10489 \h </w:instrText>
          </w:r>
          <w:r>
            <w:rPr>
              <w:rFonts w:hint="eastAsia" w:ascii="仿宋" w:hAnsi="仿宋" w:eastAsia="仿宋" w:cs="仿宋"/>
              <w:sz w:val="28"/>
              <w:szCs w:val="36"/>
            </w:rPr>
            <w:fldChar w:fldCharType="separate"/>
          </w:r>
          <w:r>
            <w:rPr>
              <w:rFonts w:hint="eastAsia" w:ascii="仿宋" w:hAnsi="仿宋" w:eastAsia="仿宋" w:cs="仿宋"/>
              <w:sz w:val="28"/>
              <w:szCs w:val="36"/>
            </w:rPr>
            <w:t>25</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_Toc29123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8.1 规划附表</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_Toc29123 \h </w:instrText>
          </w:r>
          <w:r>
            <w:rPr>
              <w:rFonts w:hint="eastAsia" w:ascii="仿宋" w:hAnsi="仿宋" w:eastAsia="仿宋" w:cs="仿宋"/>
              <w:sz w:val="28"/>
              <w:szCs w:val="36"/>
            </w:rPr>
            <w:fldChar w:fldCharType="separate"/>
          </w:r>
          <w:r>
            <w:rPr>
              <w:rFonts w:hint="eastAsia" w:ascii="仿宋" w:hAnsi="仿宋" w:eastAsia="仿宋" w:cs="仿宋"/>
              <w:sz w:val="28"/>
              <w:szCs w:val="36"/>
            </w:rPr>
            <w:t>25</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1"/>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_Toc17175 </w:instrText>
          </w:r>
          <w:r>
            <w:rPr>
              <w:rFonts w:hint="eastAsia" w:ascii="仿宋" w:hAnsi="仿宋" w:eastAsia="仿宋" w:cs="仿宋"/>
              <w:sz w:val="28"/>
              <w:szCs w:val="40"/>
            </w:rPr>
            <w:fldChar w:fldCharType="separate"/>
          </w:r>
          <w:r>
            <w:rPr>
              <w:rFonts w:hint="eastAsia" w:ascii="仿宋" w:hAnsi="仿宋" w:eastAsia="仿宋" w:cs="仿宋"/>
              <w:bCs/>
              <w:sz w:val="28"/>
              <w:szCs w:val="40"/>
              <w:lang w:val="en-US" w:eastAsia="zh-CN"/>
            </w:rPr>
            <w:t>8.2 规划附图</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_Toc17175 \h </w:instrText>
          </w:r>
          <w:r>
            <w:rPr>
              <w:rFonts w:hint="eastAsia" w:ascii="仿宋" w:hAnsi="仿宋" w:eastAsia="仿宋" w:cs="仿宋"/>
              <w:sz w:val="28"/>
              <w:szCs w:val="36"/>
            </w:rPr>
            <w:fldChar w:fldCharType="separate"/>
          </w:r>
          <w:r>
            <w:rPr>
              <w:rFonts w:hint="eastAsia" w:ascii="仿宋" w:hAnsi="仿宋" w:eastAsia="仿宋" w:cs="仿宋"/>
              <w:sz w:val="28"/>
              <w:szCs w:val="36"/>
            </w:rPr>
            <w:t>25</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0"/>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_Toc14514 </w:instrText>
          </w:r>
          <w:r>
            <w:rPr>
              <w:rFonts w:hint="eastAsia" w:ascii="仿宋" w:hAnsi="仿宋" w:eastAsia="仿宋" w:cs="仿宋"/>
              <w:sz w:val="28"/>
              <w:szCs w:val="40"/>
            </w:rPr>
            <w:fldChar w:fldCharType="separate"/>
          </w:r>
          <w:r>
            <w:rPr>
              <w:rFonts w:hint="eastAsia" w:ascii="仿宋" w:hAnsi="仿宋" w:eastAsia="仿宋" w:cs="仿宋"/>
              <w:bCs/>
              <w:sz w:val="28"/>
              <w:szCs w:val="36"/>
              <w:lang w:val="en-US" w:eastAsia="zh-CN"/>
            </w:rPr>
            <w:t>附表 1 陈家桥村生态文明建设重点工程表</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_Toc14514 \h </w:instrText>
          </w:r>
          <w:r>
            <w:rPr>
              <w:rFonts w:hint="eastAsia" w:ascii="仿宋" w:hAnsi="仿宋" w:eastAsia="仿宋" w:cs="仿宋"/>
              <w:sz w:val="28"/>
              <w:szCs w:val="36"/>
            </w:rPr>
            <w:fldChar w:fldCharType="separate"/>
          </w:r>
          <w:r>
            <w:rPr>
              <w:rFonts w:hint="eastAsia" w:ascii="仿宋" w:hAnsi="仿宋" w:eastAsia="仿宋" w:cs="仿宋"/>
              <w:sz w:val="28"/>
              <w:szCs w:val="36"/>
            </w:rPr>
            <w:t>26</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0"/>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_Toc5392 </w:instrText>
          </w:r>
          <w:r>
            <w:rPr>
              <w:rFonts w:hint="eastAsia" w:ascii="仿宋" w:hAnsi="仿宋" w:eastAsia="仿宋" w:cs="仿宋"/>
              <w:sz w:val="28"/>
              <w:szCs w:val="40"/>
            </w:rPr>
            <w:fldChar w:fldCharType="separate"/>
          </w:r>
          <w:r>
            <w:rPr>
              <w:rFonts w:hint="eastAsia" w:ascii="仿宋" w:hAnsi="仿宋" w:eastAsia="仿宋" w:cs="仿宋"/>
              <w:bCs/>
              <w:sz w:val="28"/>
              <w:szCs w:val="32"/>
              <w:lang w:val="en-US" w:eastAsia="zh-CN"/>
            </w:rPr>
            <w:t>附图1  区位分析图</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_Toc5392 \h </w:instrText>
          </w:r>
          <w:r>
            <w:rPr>
              <w:rFonts w:hint="eastAsia" w:ascii="仿宋" w:hAnsi="仿宋" w:eastAsia="仿宋" w:cs="仿宋"/>
              <w:sz w:val="28"/>
              <w:szCs w:val="36"/>
            </w:rPr>
            <w:fldChar w:fldCharType="separate"/>
          </w:r>
          <w:r>
            <w:rPr>
              <w:rFonts w:hint="eastAsia" w:ascii="仿宋" w:hAnsi="仿宋" w:eastAsia="仿宋" w:cs="仿宋"/>
              <w:sz w:val="28"/>
              <w:szCs w:val="36"/>
            </w:rPr>
            <w:t>27</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0"/>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_Toc6810 </w:instrText>
          </w:r>
          <w:r>
            <w:rPr>
              <w:rFonts w:hint="eastAsia" w:ascii="仿宋" w:hAnsi="仿宋" w:eastAsia="仿宋" w:cs="仿宋"/>
              <w:sz w:val="28"/>
              <w:szCs w:val="40"/>
            </w:rPr>
            <w:fldChar w:fldCharType="separate"/>
          </w:r>
          <w:r>
            <w:rPr>
              <w:rFonts w:hint="eastAsia" w:ascii="仿宋" w:hAnsi="仿宋" w:eastAsia="仿宋" w:cs="仿宋"/>
              <w:bCs/>
              <w:sz w:val="28"/>
              <w:szCs w:val="32"/>
              <w:lang w:val="en-US" w:eastAsia="zh-CN"/>
            </w:rPr>
            <w:t>附图2  村域空间管制规划图</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_Toc6810 \h </w:instrText>
          </w:r>
          <w:r>
            <w:rPr>
              <w:rFonts w:hint="eastAsia" w:ascii="仿宋" w:hAnsi="仿宋" w:eastAsia="仿宋" w:cs="仿宋"/>
              <w:sz w:val="28"/>
              <w:szCs w:val="36"/>
            </w:rPr>
            <w:fldChar w:fldCharType="separate"/>
          </w:r>
          <w:r>
            <w:rPr>
              <w:rFonts w:hint="eastAsia" w:ascii="仿宋" w:hAnsi="仿宋" w:eastAsia="仿宋" w:cs="仿宋"/>
              <w:sz w:val="28"/>
              <w:szCs w:val="36"/>
            </w:rPr>
            <w:t>28</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0"/>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_Toc896 </w:instrText>
          </w:r>
          <w:r>
            <w:rPr>
              <w:rFonts w:hint="eastAsia" w:ascii="仿宋" w:hAnsi="仿宋" w:eastAsia="仿宋" w:cs="仿宋"/>
              <w:sz w:val="28"/>
              <w:szCs w:val="40"/>
            </w:rPr>
            <w:fldChar w:fldCharType="separate"/>
          </w:r>
          <w:r>
            <w:rPr>
              <w:rFonts w:hint="eastAsia" w:ascii="仿宋" w:hAnsi="仿宋" w:eastAsia="仿宋" w:cs="仿宋"/>
              <w:bCs/>
              <w:sz w:val="28"/>
              <w:szCs w:val="32"/>
              <w:lang w:val="en-US" w:eastAsia="zh-CN"/>
            </w:rPr>
            <w:t>附图3  村域土地利用规划图</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_Toc896 \h </w:instrText>
          </w:r>
          <w:r>
            <w:rPr>
              <w:rFonts w:hint="eastAsia" w:ascii="仿宋" w:hAnsi="仿宋" w:eastAsia="仿宋" w:cs="仿宋"/>
              <w:sz w:val="28"/>
              <w:szCs w:val="36"/>
            </w:rPr>
            <w:fldChar w:fldCharType="separate"/>
          </w:r>
          <w:r>
            <w:rPr>
              <w:rFonts w:hint="eastAsia" w:ascii="仿宋" w:hAnsi="仿宋" w:eastAsia="仿宋" w:cs="仿宋"/>
              <w:sz w:val="28"/>
              <w:szCs w:val="36"/>
            </w:rPr>
            <w:t>29</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0"/>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_Toc16366 </w:instrText>
          </w:r>
          <w:r>
            <w:rPr>
              <w:rFonts w:hint="eastAsia" w:ascii="仿宋" w:hAnsi="仿宋" w:eastAsia="仿宋" w:cs="仿宋"/>
              <w:sz w:val="28"/>
              <w:szCs w:val="40"/>
            </w:rPr>
            <w:fldChar w:fldCharType="separate"/>
          </w:r>
          <w:r>
            <w:rPr>
              <w:rFonts w:hint="eastAsia" w:ascii="仿宋" w:hAnsi="仿宋" w:eastAsia="仿宋" w:cs="仿宋"/>
              <w:bCs/>
              <w:kern w:val="2"/>
              <w:sz w:val="28"/>
              <w:szCs w:val="32"/>
              <w:lang w:val="en-US" w:eastAsia="zh-CN" w:bidi="ar-SA"/>
            </w:rPr>
            <w:t>附图4  村域产业布局规划图</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_Toc16366 \h </w:instrText>
          </w:r>
          <w:r>
            <w:rPr>
              <w:rFonts w:hint="eastAsia" w:ascii="仿宋" w:hAnsi="仿宋" w:eastAsia="仿宋" w:cs="仿宋"/>
              <w:sz w:val="28"/>
              <w:szCs w:val="36"/>
            </w:rPr>
            <w:fldChar w:fldCharType="separate"/>
          </w:r>
          <w:r>
            <w:rPr>
              <w:rFonts w:hint="eastAsia" w:ascii="仿宋" w:hAnsi="仿宋" w:eastAsia="仿宋" w:cs="仿宋"/>
              <w:sz w:val="28"/>
              <w:szCs w:val="36"/>
            </w:rPr>
            <w:t>30</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0"/>
            <w:tabs>
              <w:tab w:val="right" w:leader="dot" w:pos="8306"/>
            </w:tabs>
            <w:rPr>
              <w:rFonts w:hint="eastAsia" w:ascii="仿宋" w:hAnsi="仿宋" w:eastAsia="仿宋" w:cs="仿宋"/>
              <w:sz w:val="28"/>
              <w:szCs w:val="36"/>
            </w:rPr>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_Toc14897 </w:instrText>
          </w:r>
          <w:r>
            <w:rPr>
              <w:rFonts w:hint="eastAsia" w:ascii="仿宋" w:hAnsi="仿宋" w:eastAsia="仿宋" w:cs="仿宋"/>
              <w:sz w:val="28"/>
              <w:szCs w:val="40"/>
            </w:rPr>
            <w:fldChar w:fldCharType="separate"/>
          </w:r>
          <w:r>
            <w:rPr>
              <w:rFonts w:hint="eastAsia" w:ascii="仿宋" w:hAnsi="仿宋" w:eastAsia="仿宋" w:cs="仿宋"/>
              <w:bCs/>
              <w:sz w:val="28"/>
              <w:szCs w:val="32"/>
              <w:lang w:val="en-US" w:eastAsia="zh-CN"/>
            </w:rPr>
            <w:t>附图5  村域综合规划图</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_Toc14897 \h </w:instrText>
          </w:r>
          <w:r>
            <w:rPr>
              <w:rFonts w:hint="eastAsia" w:ascii="仿宋" w:hAnsi="仿宋" w:eastAsia="仿宋" w:cs="仿宋"/>
              <w:sz w:val="28"/>
              <w:szCs w:val="36"/>
            </w:rPr>
            <w:fldChar w:fldCharType="separate"/>
          </w:r>
          <w:r>
            <w:rPr>
              <w:rFonts w:hint="eastAsia" w:ascii="仿宋" w:hAnsi="仿宋" w:eastAsia="仿宋" w:cs="仿宋"/>
              <w:sz w:val="28"/>
              <w:szCs w:val="36"/>
            </w:rPr>
            <w:t>31</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pPr>
            <w:pStyle w:val="10"/>
            <w:tabs>
              <w:tab w:val="right" w:leader="dot" w:pos="8306"/>
            </w:tabs>
          </w:pPr>
          <w:r>
            <w:rPr>
              <w:rFonts w:hint="eastAsia" w:ascii="仿宋" w:hAnsi="仿宋" w:eastAsia="仿宋" w:cs="仿宋"/>
              <w:sz w:val="28"/>
              <w:szCs w:val="40"/>
            </w:rPr>
            <w:fldChar w:fldCharType="begin"/>
          </w:r>
          <w:r>
            <w:rPr>
              <w:rFonts w:hint="eastAsia" w:ascii="仿宋" w:hAnsi="仿宋" w:eastAsia="仿宋" w:cs="仿宋"/>
              <w:sz w:val="28"/>
              <w:szCs w:val="40"/>
            </w:rPr>
            <w:instrText xml:space="preserve"> HYPERLINK \l _Toc15853 </w:instrText>
          </w:r>
          <w:r>
            <w:rPr>
              <w:rFonts w:hint="eastAsia" w:ascii="仿宋" w:hAnsi="仿宋" w:eastAsia="仿宋" w:cs="仿宋"/>
              <w:sz w:val="28"/>
              <w:szCs w:val="40"/>
            </w:rPr>
            <w:fldChar w:fldCharType="separate"/>
          </w:r>
          <w:r>
            <w:rPr>
              <w:rFonts w:hint="eastAsia" w:ascii="仿宋" w:hAnsi="仿宋" w:eastAsia="仿宋" w:cs="仿宋"/>
              <w:bCs/>
              <w:sz w:val="28"/>
              <w:szCs w:val="32"/>
              <w:lang w:val="en-US" w:eastAsia="zh-CN"/>
            </w:rPr>
            <w:t>附图6 陈家桥村现场踏勘图</w:t>
          </w:r>
          <w:r>
            <w:rPr>
              <w:rFonts w:hint="eastAsia" w:ascii="仿宋" w:hAnsi="仿宋" w:eastAsia="仿宋" w:cs="仿宋"/>
              <w:sz w:val="28"/>
              <w:szCs w:val="36"/>
            </w:rPr>
            <w:tab/>
          </w:r>
          <w:r>
            <w:rPr>
              <w:rFonts w:hint="eastAsia" w:ascii="仿宋" w:hAnsi="仿宋" w:eastAsia="仿宋" w:cs="仿宋"/>
              <w:sz w:val="28"/>
              <w:szCs w:val="36"/>
            </w:rPr>
            <w:fldChar w:fldCharType="begin"/>
          </w:r>
          <w:r>
            <w:rPr>
              <w:rFonts w:hint="eastAsia" w:ascii="仿宋" w:hAnsi="仿宋" w:eastAsia="仿宋" w:cs="仿宋"/>
              <w:sz w:val="28"/>
              <w:szCs w:val="36"/>
            </w:rPr>
            <w:instrText xml:space="preserve"> PAGEREF _Toc15853 \h </w:instrText>
          </w:r>
          <w:r>
            <w:rPr>
              <w:rFonts w:hint="eastAsia" w:ascii="仿宋" w:hAnsi="仿宋" w:eastAsia="仿宋" w:cs="仿宋"/>
              <w:sz w:val="28"/>
              <w:szCs w:val="36"/>
            </w:rPr>
            <w:fldChar w:fldCharType="separate"/>
          </w:r>
          <w:r>
            <w:rPr>
              <w:rFonts w:hint="eastAsia" w:ascii="仿宋" w:hAnsi="仿宋" w:eastAsia="仿宋" w:cs="仿宋"/>
              <w:sz w:val="28"/>
              <w:szCs w:val="36"/>
            </w:rPr>
            <w:t>32</w:t>
          </w:r>
          <w:r>
            <w:rPr>
              <w:rFonts w:hint="eastAsia" w:ascii="仿宋" w:hAnsi="仿宋" w:eastAsia="仿宋" w:cs="仿宋"/>
              <w:sz w:val="28"/>
              <w:szCs w:val="36"/>
            </w:rPr>
            <w:fldChar w:fldCharType="end"/>
          </w:r>
          <w:r>
            <w:rPr>
              <w:rFonts w:hint="eastAsia" w:ascii="仿宋" w:hAnsi="仿宋" w:eastAsia="仿宋" w:cs="仿宋"/>
              <w:sz w:val="28"/>
              <w:szCs w:val="40"/>
            </w:rPr>
            <w:fldChar w:fldCharType="end"/>
          </w:r>
        </w:p>
        <w:p>
          <w:r>
            <w:rPr>
              <w:rFonts w:hint="eastAsia" w:ascii="仿宋" w:hAnsi="仿宋" w:eastAsia="仿宋" w:cs="仿宋"/>
              <w:sz w:val="28"/>
              <w:szCs w:val="28"/>
            </w:rPr>
            <w:fldChar w:fldCharType="end"/>
          </w:r>
        </w:p>
      </w:sdtContent>
    </w:sdt>
    <w:p>
      <w:pPr>
        <w:keepNext w:val="0"/>
        <w:keepLines w:val="0"/>
        <w:pageBreakBefore w:val="0"/>
        <w:widowControl w:val="0"/>
        <w:kinsoku/>
        <w:wordWrap/>
        <w:overflowPunct/>
        <w:topLinePunct w:val="0"/>
        <w:autoSpaceDE/>
        <w:autoSpaceDN/>
        <w:bidi w:val="0"/>
        <w:adjustRightInd/>
        <w:snapToGrid/>
        <w:textAlignment w:val="auto"/>
        <w:outlineLvl w:val="0"/>
        <w:rPr>
          <w:rFonts w:hint="eastAsia" w:ascii="仿宋" w:hAnsi="仿宋" w:eastAsia="仿宋" w:cs="仿宋"/>
          <w:b/>
          <w:bCs/>
          <w:sz w:val="32"/>
          <w:szCs w:val="32"/>
          <w:lang w:val="en-US"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bookmarkStart w:id="0" w:name="_Toc28548"/>
    </w:p>
    <w:p>
      <w:pPr>
        <w:keepNext w:val="0"/>
        <w:keepLines w:val="0"/>
        <w:pageBreakBefore w:val="0"/>
        <w:widowControl w:val="0"/>
        <w:kinsoku/>
        <w:wordWrap/>
        <w:overflowPunct/>
        <w:topLinePunct w:val="0"/>
        <w:autoSpaceDE/>
        <w:autoSpaceDN/>
        <w:bidi w:val="0"/>
        <w:adjustRightInd/>
        <w:snapToGrid/>
        <w:textAlignment w:val="auto"/>
        <w:outlineLvl w:val="0"/>
        <w:rPr>
          <w:rFonts w:hint="eastAsia" w:ascii="仿宋" w:hAnsi="仿宋" w:eastAsia="仿宋" w:cs="仿宋"/>
          <w:b/>
          <w:bCs/>
          <w:sz w:val="32"/>
          <w:szCs w:val="32"/>
          <w:lang w:val="en-US" w:eastAsia="zh-CN"/>
        </w:rPr>
      </w:pPr>
      <w:bookmarkStart w:id="1" w:name="_Toc21224"/>
      <w:bookmarkStart w:id="2" w:name="_Toc5684"/>
      <w:r>
        <w:rPr>
          <w:rFonts w:hint="eastAsia" w:ascii="仿宋" w:hAnsi="仿宋" w:eastAsia="仿宋" w:cs="仿宋"/>
          <w:b/>
          <w:bCs/>
          <w:sz w:val="32"/>
          <w:szCs w:val="32"/>
          <w:lang w:val="en-US" w:eastAsia="zh-CN"/>
        </w:rPr>
        <w:t>1 总则</w:t>
      </w:r>
      <w:bookmarkEnd w:id="0"/>
      <w:bookmarkEnd w:id="1"/>
      <w:bookmarkEnd w:id="2"/>
      <w:r>
        <w:rPr>
          <w:rFonts w:hint="eastAsia" w:ascii="仿宋" w:hAnsi="仿宋" w:eastAsia="仿宋" w:cs="仿宋"/>
          <w:b/>
          <w:bCs/>
          <w:sz w:val="32"/>
          <w:szCs w:val="32"/>
          <w:lang w:val="en-US" w:eastAsia="zh-CN"/>
        </w:rPr>
        <w:t xml:space="preserve"> </w:t>
      </w:r>
    </w:p>
    <w:p>
      <w:pPr>
        <w:keepNext w:val="0"/>
        <w:keepLines w:val="0"/>
        <w:pageBreakBefore w:val="0"/>
        <w:widowControl w:val="0"/>
        <w:tabs>
          <w:tab w:val="left" w:pos="2432"/>
        </w:tabs>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bookmarkStart w:id="3" w:name="_Toc9436"/>
      <w:bookmarkStart w:id="4" w:name="_Toc20969"/>
      <w:bookmarkStart w:id="5" w:name="_Toc23609"/>
      <w:r>
        <w:rPr>
          <w:rFonts w:hint="eastAsia" w:ascii="仿宋" w:hAnsi="仿宋" w:eastAsia="仿宋" w:cs="仿宋"/>
          <w:b/>
          <w:bCs/>
          <w:sz w:val="28"/>
          <w:szCs w:val="28"/>
          <w:lang w:val="en-US" w:eastAsia="zh-CN"/>
        </w:rPr>
        <w:t>1.1 任务由来</w:t>
      </w:r>
      <w:bookmarkEnd w:id="3"/>
      <w:bookmarkEnd w:id="4"/>
      <w:bookmarkEnd w:id="5"/>
    </w:p>
    <w:p>
      <w:pPr>
        <w:spacing w:line="360" w:lineRule="auto"/>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生态文明建设示范村是建设美丽中国的必要前提，是社会主义新农村建设的核心内容。生态文明建设示范村规划是生态文明建设示范村创建过程的重要指导性文件。以邓小平理论、“三个代表”重要思想、科学发展观和习近平生态文明思想为指导，以提高公民文明素质、社会文明程度和生态文明建设为核心。以践行社会主义核心价值体系为根本，以公民道德教育为重点，以群众性精神文明创建活动为载体，广泛发动，全民参与，努力建设生态文明建设示范村。按照此思路，依据相关技术规范组织编制了《</w:t>
      </w:r>
      <w:r>
        <w:rPr>
          <w:rFonts w:hint="eastAsia" w:ascii="仿宋" w:hAnsi="仿宋" w:eastAsia="仿宋" w:cs="仿宋"/>
          <w:b w:val="0"/>
          <w:bCs w:val="0"/>
          <w:sz w:val="28"/>
          <w:szCs w:val="28"/>
        </w:rPr>
        <w:t>宁乡市菁华铺乡陈家桥村</w:t>
      </w:r>
      <w:r>
        <w:rPr>
          <w:rFonts w:hint="eastAsia" w:ascii="仿宋" w:hAnsi="仿宋" w:eastAsia="仿宋" w:cs="仿宋"/>
          <w:b w:val="0"/>
          <w:bCs w:val="0"/>
          <w:sz w:val="28"/>
          <w:szCs w:val="28"/>
          <w:lang w:val="en-US" w:eastAsia="zh-CN"/>
        </w:rPr>
        <w:t>生态文明建设示范村规划》。</w:t>
      </w:r>
    </w:p>
    <w:p>
      <w:pPr>
        <w:keepNext w:val="0"/>
        <w:keepLines w:val="0"/>
        <w:pageBreakBefore w:val="0"/>
        <w:widowControl w:val="0"/>
        <w:tabs>
          <w:tab w:val="left" w:pos="2432"/>
        </w:tabs>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bookmarkStart w:id="6" w:name="_Toc21586"/>
      <w:bookmarkStart w:id="7" w:name="_Toc4589"/>
      <w:bookmarkStart w:id="8" w:name="_Toc26072"/>
      <w:r>
        <w:rPr>
          <w:rFonts w:hint="eastAsia" w:ascii="仿宋" w:hAnsi="仿宋" w:eastAsia="仿宋" w:cs="仿宋"/>
          <w:b/>
          <w:bCs/>
          <w:sz w:val="28"/>
          <w:szCs w:val="28"/>
          <w:lang w:val="en-US" w:eastAsia="zh-CN"/>
        </w:rPr>
        <w:t>1.2 编制依据</w:t>
      </w:r>
      <w:bookmarkEnd w:id="6"/>
      <w:bookmarkEnd w:id="7"/>
      <w:bookmarkEnd w:id="8"/>
    </w:p>
    <w:p>
      <w:pPr>
        <w:spacing w:line="360" w:lineRule="auto"/>
        <w:ind w:firstLine="560" w:firstLineChars="200"/>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u w:val="single"/>
          <w:lang w:val="en-US" w:eastAsia="zh-CN"/>
        </w:rPr>
        <w:t>（1）《中共中央国务院关于加快推进生态文明建设的意见》；</w:t>
      </w:r>
    </w:p>
    <w:p>
      <w:pPr>
        <w:spacing w:line="360" w:lineRule="auto"/>
        <w:ind w:firstLine="560" w:firstLineChars="200"/>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u w:val="single"/>
          <w:lang w:val="en-US" w:eastAsia="zh-CN"/>
        </w:rPr>
        <w:t>（2）《国务院办公厅关于改善农村人居环境的指导意见》（国办发〔2014〕25 号）；</w:t>
      </w:r>
    </w:p>
    <w:p>
      <w:pPr>
        <w:spacing w:line="360" w:lineRule="auto"/>
        <w:ind w:firstLine="560" w:firstLineChars="200"/>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u w:val="single"/>
          <w:lang w:val="en-US" w:eastAsia="zh-CN"/>
        </w:rPr>
        <w:t>（3）《关于大力推进生态文明建设示范区工作的意见》（环发〔2013〕121号）；</w:t>
      </w:r>
    </w:p>
    <w:p>
      <w:pPr>
        <w:spacing w:line="360" w:lineRule="auto"/>
        <w:ind w:firstLine="560" w:firstLineChars="200"/>
        <w:rPr>
          <w:rFonts w:hint="default" w:ascii="仿宋" w:hAnsi="仿宋" w:eastAsia="仿宋" w:cs="仿宋"/>
          <w:b w:val="0"/>
          <w:bCs w:val="0"/>
          <w:sz w:val="28"/>
          <w:szCs w:val="28"/>
          <w:u w:val="single"/>
          <w:lang w:val="en-US" w:eastAsia="zh-CN"/>
        </w:rPr>
      </w:pPr>
      <w:r>
        <w:rPr>
          <w:rFonts w:hint="eastAsia" w:ascii="仿宋" w:hAnsi="仿宋" w:eastAsia="仿宋" w:cs="仿宋"/>
          <w:b w:val="0"/>
          <w:bCs w:val="0"/>
          <w:sz w:val="28"/>
          <w:szCs w:val="28"/>
          <w:u w:val="single"/>
          <w:lang w:val="en-US" w:eastAsia="zh-CN"/>
        </w:rPr>
        <w:t>（4）《宁乡市菁华铺乡陈家桥村村庄规划（2018-2030）》；</w:t>
      </w:r>
    </w:p>
    <w:p>
      <w:pPr>
        <w:spacing w:line="360" w:lineRule="auto"/>
        <w:ind w:firstLine="560" w:firstLineChars="200"/>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u w:val="single"/>
          <w:lang w:val="en-US" w:eastAsia="zh-CN"/>
        </w:rPr>
        <w:t>（5）长沙市生态环境局 关于印发《长沙市生态文明建设示范镇（乡）、村管理规程（试行）和《长沙市生态文明建设示范镇（乡）、村建设指标（试行）》的通知（长环【2020】182号）。</w:t>
      </w:r>
    </w:p>
    <w:p>
      <w:pPr>
        <w:keepNext w:val="0"/>
        <w:keepLines w:val="0"/>
        <w:pageBreakBefore w:val="0"/>
        <w:widowControl w:val="0"/>
        <w:tabs>
          <w:tab w:val="left" w:pos="2432"/>
        </w:tabs>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bookmarkStart w:id="9" w:name="_Toc786"/>
      <w:bookmarkStart w:id="10" w:name="_Toc32766"/>
      <w:bookmarkStart w:id="11" w:name="_Toc12194"/>
      <w:r>
        <w:rPr>
          <w:rFonts w:hint="eastAsia" w:ascii="仿宋" w:hAnsi="仿宋" w:eastAsia="仿宋" w:cs="仿宋"/>
          <w:b/>
          <w:bCs/>
          <w:sz w:val="28"/>
          <w:szCs w:val="28"/>
          <w:lang w:val="en-US" w:eastAsia="zh-CN"/>
        </w:rPr>
        <w:t>1.3 规划原则</w:t>
      </w:r>
      <w:bookmarkEnd w:id="9"/>
      <w:bookmarkEnd w:id="10"/>
      <w:bookmarkEnd w:id="11"/>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9"/>
        <w:rPr>
          <w:rFonts w:hint="eastAsia" w:ascii="仿宋" w:hAnsi="仿宋" w:eastAsia="仿宋" w:cs="仿宋"/>
          <w:b/>
          <w:bCs/>
          <w:sz w:val="28"/>
          <w:szCs w:val="28"/>
          <w:u w:val="single"/>
          <w:lang w:val="en-US" w:eastAsia="zh-CN"/>
        </w:rPr>
      </w:pPr>
      <w:bookmarkStart w:id="12" w:name="_Toc26993"/>
      <w:r>
        <w:rPr>
          <w:rFonts w:hint="eastAsia" w:ascii="仿宋" w:hAnsi="仿宋" w:eastAsia="仿宋" w:cs="仿宋"/>
          <w:b/>
          <w:bCs/>
          <w:sz w:val="28"/>
          <w:szCs w:val="28"/>
          <w:u w:val="single"/>
          <w:lang w:val="en-US" w:eastAsia="zh-CN"/>
        </w:rPr>
        <w:t>（1）以人为本</w:t>
      </w:r>
      <w:bookmarkEnd w:id="12"/>
    </w:p>
    <w:p>
      <w:pPr>
        <w:spacing w:line="360" w:lineRule="auto"/>
        <w:ind w:firstLine="560" w:firstLineChars="200"/>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u w:val="single"/>
          <w:lang w:val="en-US" w:eastAsia="zh-CN"/>
        </w:rPr>
        <w:t>始终把农民群众的利益放在首位，尊重农民群众的知情权、参与权、决策权和监督权，着力解决群众反响最强烈、与群众利益关系最密切的问题。充分发挥农民群众的主体作用，激发农民群众建设生态文明建设示范村的主动性和创造性。</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9"/>
        <w:rPr>
          <w:rFonts w:hint="eastAsia" w:ascii="仿宋" w:hAnsi="仿宋" w:eastAsia="仿宋" w:cs="仿宋"/>
          <w:b/>
          <w:bCs/>
          <w:sz w:val="28"/>
          <w:szCs w:val="28"/>
          <w:u w:val="single"/>
          <w:lang w:val="en-US" w:eastAsia="zh-CN"/>
        </w:rPr>
      </w:pPr>
      <w:bookmarkStart w:id="13" w:name="_Toc22675"/>
      <w:r>
        <w:rPr>
          <w:rFonts w:hint="eastAsia" w:ascii="仿宋" w:hAnsi="仿宋" w:eastAsia="仿宋" w:cs="仿宋"/>
          <w:b/>
          <w:bCs/>
          <w:sz w:val="28"/>
          <w:szCs w:val="28"/>
          <w:u w:val="single"/>
          <w:lang w:val="en-US" w:eastAsia="zh-CN"/>
        </w:rPr>
        <w:t>（2）规划先行</w:t>
      </w:r>
      <w:bookmarkEnd w:id="13"/>
    </w:p>
    <w:p>
      <w:pPr>
        <w:spacing w:line="360" w:lineRule="auto"/>
        <w:ind w:firstLine="560" w:firstLineChars="200"/>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u w:val="single"/>
          <w:lang w:val="en-US" w:eastAsia="zh-CN"/>
        </w:rPr>
        <w:t>以生态优先、景观优先、公建优先为准则，高标准、高起点的科学编制规划。注重与村庄布局规划、土地利用规划、产业发展规划和农村土地综合整治规划的充分衔接，强化规划的前瞻性、科学性和可操作性，确保规划落地、项目顺利实施。</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9"/>
        <w:rPr>
          <w:rFonts w:hint="eastAsia" w:ascii="仿宋" w:hAnsi="仿宋" w:eastAsia="仿宋" w:cs="仿宋"/>
          <w:b/>
          <w:bCs/>
          <w:sz w:val="28"/>
          <w:szCs w:val="28"/>
          <w:u w:val="single"/>
          <w:lang w:val="en-US" w:eastAsia="zh-CN"/>
        </w:rPr>
      </w:pPr>
      <w:bookmarkStart w:id="14" w:name="_Toc10855"/>
      <w:r>
        <w:rPr>
          <w:rFonts w:hint="eastAsia" w:ascii="仿宋" w:hAnsi="仿宋" w:eastAsia="仿宋" w:cs="仿宋"/>
          <w:b/>
          <w:bCs/>
          <w:sz w:val="28"/>
          <w:szCs w:val="28"/>
          <w:u w:val="single"/>
          <w:lang w:val="en-US" w:eastAsia="zh-CN"/>
        </w:rPr>
        <w:t>（3）注重特色</w:t>
      </w:r>
      <w:bookmarkEnd w:id="14"/>
    </w:p>
    <w:p>
      <w:pPr>
        <w:spacing w:line="360" w:lineRule="auto"/>
        <w:ind w:firstLine="560" w:firstLineChars="200"/>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u w:val="single"/>
          <w:lang w:val="en-US" w:eastAsia="zh-CN"/>
        </w:rPr>
        <w:t>因村制宜、突出重点，结合地形，彰显村庄特色，把陈家桥村打造为农村生态示范乡村。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9"/>
        <w:rPr>
          <w:rFonts w:hint="eastAsia" w:ascii="仿宋" w:hAnsi="仿宋" w:eastAsia="仿宋" w:cs="仿宋"/>
          <w:b/>
          <w:bCs/>
          <w:sz w:val="28"/>
          <w:szCs w:val="28"/>
          <w:u w:val="single"/>
          <w:lang w:val="en-US" w:eastAsia="zh-CN"/>
        </w:rPr>
      </w:pPr>
      <w:bookmarkStart w:id="15" w:name="_Toc12847"/>
      <w:r>
        <w:rPr>
          <w:rFonts w:hint="eastAsia" w:ascii="仿宋" w:hAnsi="仿宋" w:eastAsia="仿宋" w:cs="仿宋"/>
          <w:b/>
          <w:bCs/>
          <w:sz w:val="28"/>
          <w:szCs w:val="28"/>
          <w:u w:val="single"/>
          <w:lang w:val="en-US" w:eastAsia="zh-CN"/>
        </w:rPr>
        <w:t>（4）生态环保</w:t>
      </w:r>
      <w:bookmarkEnd w:id="15"/>
    </w:p>
    <w:p>
      <w:pPr>
        <w:spacing w:line="360" w:lineRule="auto"/>
        <w:ind w:firstLine="560" w:firstLineChars="200"/>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u w:val="single"/>
          <w:lang w:val="en-US" w:eastAsia="zh-CN"/>
        </w:rPr>
        <w:t>保护土地资源，合理用地，集约用地，进行村庄内部的土地整理，村庄建设尽量利用现有村庄建设用地，不占用基本农田进行建设。保护天然植被，做好水土保持工作。保护耕地、节约用地的原则，村庄应充分利用丘陵、缓坡和其他非耕地进行建设；紧凑布局村庄各项建设用地，集约建设。</w:t>
      </w:r>
    </w:p>
    <w:p>
      <w:pPr>
        <w:keepNext w:val="0"/>
        <w:keepLines w:val="0"/>
        <w:pageBreakBefore w:val="0"/>
        <w:widowControl w:val="0"/>
        <w:tabs>
          <w:tab w:val="left" w:pos="2432"/>
        </w:tabs>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bookmarkStart w:id="16" w:name="_Toc22579"/>
      <w:bookmarkStart w:id="17" w:name="_Toc21437"/>
      <w:bookmarkStart w:id="18" w:name="_Toc21057"/>
      <w:r>
        <w:rPr>
          <w:rFonts w:hint="eastAsia" w:ascii="仿宋" w:hAnsi="仿宋" w:eastAsia="仿宋" w:cs="仿宋"/>
          <w:b/>
          <w:bCs/>
          <w:sz w:val="28"/>
          <w:szCs w:val="28"/>
          <w:lang w:val="en-US" w:eastAsia="zh-CN"/>
        </w:rPr>
        <w:t>1.4 规划范围</w:t>
      </w:r>
      <w:bookmarkEnd w:id="16"/>
      <w:bookmarkEnd w:id="17"/>
      <w:bookmarkEnd w:id="18"/>
    </w:p>
    <w:p>
      <w:pPr>
        <w:spacing w:line="360" w:lineRule="auto"/>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本次生态文明示范村规划的范围为宁乡市</w:t>
      </w:r>
      <w:r>
        <w:rPr>
          <w:rFonts w:hint="eastAsia" w:ascii="仿宋" w:hAnsi="仿宋" w:eastAsia="仿宋" w:cs="仿宋"/>
          <w:b w:val="0"/>
          <w:bCs w:val="0"/>
          <w:sz w:val="28"/>
          <w:szCs w:val="28"/>
        </w:rPr>
        <w:t>菁华铺乡</w:t>
      </w:r>
      <w:r>
        <w:rPr>
          <w:rFonts w:hint="eastAsia" w:ascii="仿宋" w:hAnsi="仿宋" w:eastAsia="仿宋" w:cs="仿宋"/>
          <w:b w:val="0"/>
          <w:bCs w:val="0"/>
          <w:sz w:val="28"/>
          <w:szCs w:val="28"/>
          <w:lang w:val="en-US" w:eastAsia="zh-CN"/>
        </w:rPr>
        <w:t>陈家桥村，全村辖27个村民小组，分别为：少家组、木家组、和平组、泉井组、立新组、棋楼组、千公塘组、吊墈组、长岭组、新屋组、谢家湾组、武庙组、塘家屋组、新建组、黑屋组、皂壳组、东风组、花芦组、鸟窝山组、松柏组、李家组、平塘组、汤家组、长塘组、上八斗组、胡家湾组、油榨塘组。</w:t>
      </w:r>
      <w:r>
        <w:rPr>
          <w:rFonts w:hint="eastAsia" w:ascii="仿宋" w:hAnsi="仿宋" w:eastAsia="仿宋" w:cs="仿宋"/>
          <w:b w:val="0"/>
          <w:bCs w:val="0"/>
          <w:kern w:val="2"/>
          <w:sz w:val="28"/>
          <w:szCs w:val="28"/>
          <w:lang w:val="en-US" w:eastAsia="zh-CN" w:bidi="ar-SA"/>
        </w:rPr>
        <w:t>陈家桥村村域面积8.85平方公里，户籍人口4335人，共1199户。</w:t>
      </w:r>
    </w:p>
    <w:p>
      <w:pPr>
        <w:keepNext w:val="0"/>
        <w:keepLines w:val="0"/>
        <w:pageBreakBefore w:val="0"/>
        <w:widowControl w:val="0"/>
        <w:tabs>
          <w:tab w:val="left" w:pos="2432"/>
        </w:tabs>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bookmarkStart w:id="19" w:name="_Toc32316"/>
      <w:bookmarkStart w:id="20" w:name="_Toc20343"/>
      <w:bookmarkStart w:id="21" w:name="_Toc18598"/>
      <w:r>
        <w:rPr>
          <w:rFonts w:hint="eastAsia" w:ascii="仿宋" w:hAnsi="仿宋" w:eastAsia="仿宋" w:cs="仿宋"/>
          <w:b/>
          <w:bCs/>
          <w:sz w:val="28"/>
          <w:szCs w:val="28"/>
          <w:lang w:val="en-US" w:eastAsia="zh-CN"/>
        </w:rPr>
        <w:t>1.5 规划时限</w:t>
      </w:r>
      <w:bookmarkEnd w:id="19"/>
      <w:bookmarkEnd w:id="20"/>
      <w:bookmarkEnd w:id="21"/>
    </w:p>
    <w:p>
      <w:pPr>
        <w:spacing w:line="360" w:lineRule="auto"/>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规划基准年：2020年。</w:t>
      </w:r>
    </w:p>
    <w:p>
      <w:pPr>
        <w:spacing w:line="360" w:lineRule="auto"/>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规划时限：2021～2025 年。</w:t>
      </w:r>
    </w:p>
    <w:p>
      <w:pPr>
        <w:spacing w:line="360" w:lineRule="auto"/>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textAlignment w:val="auto"/>
        <w:outlineLvl w:val="0"/>
        <w:rPr>
          <w:rFonts w:hint="eastAsia" w:ascii="仿宋" w:hAnsi="仿宋" w:eastAsia="仿宋" w:cs="仿宋"/>
          <w:b/>
          <w:bCs/>
          <w:sz w:val="32"/>
          <w:szCs w:val="32"/>
          <w:lang w:val="en-US" w:eastAsia="zh-CN"/>
        </w:rPr>
      </w:pPr>
      <w:bookmarkStart w:id="22" w:name="_Toc1293"/>
      <w:bookmarkStart w:id="23" w:name="_Toc29514"/>
      <w:bookmarkStart w:id="24" w:name="_Toc32357"/>
      <w:r>
        <w:rPr>
          <w:rFonts w:hint="eastAsia" w:ascii="仿宋" w:hAnsi="仿宋" w:eastAsia="仿宋" w:cs="仿宋"/>
          <w:b/>
          <w:bCs/>
          <w:sz w:val="32"/>
          <w:szCs w:val="32"/>
          <w:lang w:val="en-US" w:eastAsia="zh-CN"/>
        </w:rPr>
        <w:t>2 现状与问题</w:t>
      </w:r>
      <w:bookmarkEnd w:id="22"/>
      <w:bookmarkEnd w:id="23"/>
      <w:bookmarkEnd w:id="24"/>
      <w:r>
        <w:rPr>
          <w:rFonts w:hint="eastAsia" w:ascii="仿宋" w:hAnsi="仿宋" w:eastAsia="仿宋" w:cs="仿宋"/>
          <w:b/>
          <w:bCs/>
          <w:sz w:val="32"/>
          <w:szCs w:val="32"/>
          <w:lang w:val="en-US" w:eastAsia="zh-CN"/>
        </w:rPr>
        <w:t xml:space="preserve"> </w:t>
      </w:r>
    </w:p>
    <w:p>
      <w:pPr>
        <w:keepNext w:val="0"/>
        <w:keepLines w:val="0"/>
        <w:pageBreakBefore w:val="0"/>
        <w:widowControl w:val="0"/>
        <w:tabs>
          <w:tab w:val="left" w:pos="2549"/>
        </w:tabs>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bookmarkStart w:id="25" w:name="_Toc14222"/>
      <w:bookmarkStart w:id="26" w:name="_Toc25151"/>
      <w:bookmarkStart w:id="27" w:name="_Toc518"/>
      <w:r>
        <w:rPr>
          <w:rFonts w:hint="eastAsia" w:ascii="仿宋" w:hAnsi="仿宋" w:eastAsia="仿宋" w:cs="仿宋"/>
          <w:b/>
          <w:bCs/>
          <w:sz w:val="28"/>
          <w:szCs w:val="28"/>
          <w:lang w:val="en-US" w:eastAsia="zh-CN"/>
        </w:rPr>
        <w:t>2.1 基本概况</w:t>
      </w:r>
      <w:bookmarkEnd w:id="25"/>
      <w:bookmarkEnd w:id="26"/>
      <w:bookmarkEnd w:id="27"/>
    </w:p>
    <w:p>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textAlignment w:val="cente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宁乡市，湖南省辖县级市，由省会长沙市代管。宁乡取意“乡土安宁”而得名，治邑于三国，建县于北宋，2017年撤县建市，现辖33个街乡镇，1个国家级经济开发区，1个省级经济开发区，总面积2906平方公里，户籍总人口142.25万人。</w:t>
      </w:r>
    </w:p>
    <w:p>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textAlignment w:val="cente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菁华铺乡位于宁乡市西北部，距宁乡市区6.8公里，乡所辖范围东临双江口镇，南壤城郊乡、玉潭街道、白马桥街道与回龙铺镇，西靠煤炭坝镇，北接益阳市，是宁乡市的西大门。G319、S206、长常高速、长石高速、金州西线川跨腹地，具有“长益桥头堡”的独特区位和交通优势。全乡面积65.8平方公里，耕地面积3.3万亩，下辖菁华铺、陈家桥、嶂山等10个行政村，共有275个村民小组、3.4万人。</w:t>
      </w:r>
    </w:p>
    <w:p>
      <w:pPr>
        <w:pStyle w:val="12"/>
        <w:widowControl/>
        <w:pBdr>
          <w:top w:val="none" w:color="auto" w:sz="0" w:space="0"/>
          <w:left w:val="none" w:color="auto" w:sz="0" w:space="0"/>
          <w:bottom w:val="none" w:color="auto" w:sz="0" w:space="0"/>
          <w:right w:val="none" w:color="auto" w:sz="0" w:space="0"/>
        </w:pBdr>
        <w:spacing w:line="23" w:lineRule="atLeast"/>
        <w:ind w:firstLine="420"/>
        <w:textAlignment w:val="center"/>
        <w:rPr>
          <w:rFonts w:hint="default"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陈家桥村位于菁华铺乡西部，西面为煤炭坝镇，南面为回龙铺镇，北临洪仑山村、东壤嶂山村，村庄距离菁华铺集镇约4.5公里，位于市区10公里辐射圈以内，省道S206于村庄北侧东西向经过，玉回线与东南侧经过，村域无过境干道。陈家桥村村域面积8.85平方公里，下辖4个自然片区，分别是长岭片、薄荷片、花袄片、陈家桥片。户籍人口4335人，共1199户。2020年，全村国民生产总值为1.24亿元。村内主要种植水稻、油菜、苗木和蔬菜等。</w:t>
      </w:r>
    </w:p>
    <w:p>
      <w:pPr>
        <w:keepNext w:val="0"/>
        <w:keepLines w:val="0"/>
        <w:pageBreakBefore w:val="0"/>
        <w:widowControl w:val="0"/>
        <w:tabs>
          <w:tab w:val="left" w:pos="2549"/>
        </w:tabs>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bookmarkStart w:id="28" w:name="_Toc19795"/>
      <w:bookmarkStart w:id="29" w:name="_Toc8764"/>
      <w:bookmarkStart w:id="30" w:name="_Toc26569"/>
      <w:r>
        <w:rPr>
          <w:rFonts w:hint="eastAsia" w:ascii="仿宋" w:hAnsi="仿宋" w:eastAsia="仿宋" w:cs="仿宋"/>
          <w:b/>
          <w:bCs/>
          <w:sz w:val="28"/>
          <w:szCs w:val="28"/>
          <w:lang w:val="en-US" w:eastAsia="zh-CN"/>
        </w:rPr>
        <w:t>2.2 创建基础</w:t>
      </w:r>
      <w:bookmarkEnd w:id="28"/>
      <w:bookmarkEnd w:id="29"/>
      <w:bookmarkEnd w:id="30"/>
    </w:p>
    <w:p>
      <w:pPr>
        <w:ind w:firstLine="560" w:firstLineChars="200"/>
        <w:rPr>
          <w:rFonts w:hint="default"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陈家桥</w:t>
      </w:r>
      <w:r>
        <w:rPr>
          <w:rFonts w:hint="default" w:ascii="仿宋" w:hAnsi="仿宋" w:eastAsia="仿宋" w:cs="仿宋"/>
          <w:b w:val="0"/>
          <w:bCs w:val="0"/>
          <w:kern w:val="2"/>
          <w:sz w:val="28"/>
          <w:szCs w:val="28"/>
          <w:lang w:val="en-US" w:eastAsia="zh-CN" w:bidi="ar-SA"/>
        </w:rPr>
        <w:t>村坚持走生态发展之路，近年来借美丽乡村建设春风</w:t>
      </w:r>
      <w:r>
        <w:rPr>
          <w:rFonts w:hint="eastAsia" w:ascii="仿宋" w:hAnsi="仿宋" w:eastAsia="仿宋" w:cs="仿宋"/>
          <w:b w:val="0"/>
          <w:bCs w:val="0"/>
          <w:kern w:val="2"/>
          <w:sz w:val="28"/>
          <w:szCs w:val="28"/>
          <w:lang w:val="en-US" w:eastAsia="zh-CN" w:bidi="ar-SA"/>
        </w:rPr>
        <w:t>，</w:t>
      </w:r>
      <w:r>
        <w:rPr>
          <w:rFonts w:hint="default" w:ascii="仿宋" w:hAnsi="仿宋" w:eastAsia="仿宋" w:cs="仿宋"/>
          <w:b w:val="0"/>
          <w:bCs w:val="0"/>
          <w:kern w:val="2"/>
          <w:sz w:val="28"/>
          <w:szCs w:val="28"/>
          <w:lang w:val="en-US" w:eastAsia="zh-CN" w:bidi="ar-SA"/>
        </w:rPr>
        <w:t>开展村庄整治和建设，为实施乡村振兴战略谋好了开篇。近年来，共发动群众捐资</w:t>
      </w:r>
      <w:r>
        <w:rPr>
          <w:rFonts w:hint="eastAsia" w:ascii="仿宋" w:hAnsi="仿宋" w:eastAsia="仿宋" w:cs="仿宋"/>
          <w:b w:val="0"/>
          <w:bCs w:val="0"/>
          <w:kern w:val="2"/>
          <w:sz w:val="28"/>
          <w:szCs w:val="28"/>
          <w:lang w:val="en-US" w:eastAsia="zh-CN" w:bidi="ar-SA"/>
        </w:rPr>
        <w:t>20</w:t>
      </w:r>
      <w:r>
        <w:rPr>
          <w:rFonts w:hint="default" w:ascii="仿宋" w:hAnsi="仿宋" w:eastAsia="仿宋" w:cs="仿宋"/>
          <w:b w:val="0"/>
          <w:bCs w:val="0"/>
          <w:kern w:val="2"/>
          <w:sz w:val="28"/>
          <w:szCs w:val="28"/>
          <w:lang w:val="en-US" w:eastAsia="zh-CN" w:bidi="ar-SA"/>
        </w:rPr>
        <w:t>00</w:t>
      </w:r>
      <w:r>
        <w:rPr>
          <w:rFonts w:hint="eastAsia" w:ascii="仿宋" w:hAnsi="仿宋" w:eastAsia="仿宋" w:cs="仿宋"/>
          <w:b w:val="0"/>
          <w:bCs w:val="0"/>
          <w:kern w:val="2"/>
          <w:sz w:val="28"/>
          <w:szCs w:val="28"/>
          <w:lang w:val="en-US" w:eastAsia="zh-CN" w:bidi="ar-SA"/>
        </w:rPr>
        <w:t>余</w:t>
      </w:r>
      <w:r>
        <w:rPr>
          <w:rFonts w:hint="default" w:ascii="仿宋" w:hAnsi="仿宋" w:eastAsia="仿宋" w:cs="仿宋"/>
          <w:b w:val="0"/>
          <w:bCs w:val="0"/>
          <w:kern w:val="2"/>
          <w:sz w:val="28"/>
          <w:szCs w:val="28"/>
          <w:lang w:val="en-US" w:eastAsia="zh-CN" w:bidi="ar-SA"/>
        </w:rPr>
        <w:t>万元、投劳5000多个，其投入占到总建设投入的一半以上，先后完成楠竹山、木家湾等</w:t>
      </w:r>
      <w:r>
        <w:rPr>
          <w:rFonts w:hint="eastAsia" w:ascii="仿宋" w:hAnsi="仿宋" w:eastAsia="仿宋" w:cs="仿宋"/>
          <w:b w:val="0"/>
          <w:bCs w:val="0"/>
          <w:kern w:val="2"/>
          <w:sz w:val="28"/>
          <w:szCs w:val="28"/>
          <w:lang w:val="en-US" w:eastAsia="zh-CN" w:bidi="ar-SA"/>
        </w:rPr>
        <w:t>13个</w:t>
      </w:r>
      <w:r>
        <w:rPr>
          <w:rFonts w:hint="default" w:ascii="仿宋" w:hAnsi="仿宋" w:eastAsia="仿宋" w:cs="仿宋"/>
          <w:b w:val="0"/>
          <w:bCs w:val="0"/>
          <w:kern w:val="2"/>
          <w:sz w:val="28"/>
          <w:szCs w:val="28"/>
          <w:lang w:val="en-US" w:eastAsia="zh-CN" w:bidi="ar-SA"/>
        </w:rPr>
        <w:t>美丽屋场</w:t>
      </w:r>
      <w:r>
        <w:rPr>
          <w:rFonts w:hint="eastAsia" w:ascii="仿宋" w:hAnsi="仿宋" w:eastAsia="仿宋" w:cs="仿宋"/>
          <w:b w:val="0"/>
          <w:bCs w:val="0"/>
          <w:kern w:val="2"/>
          <w:sz w:val="28"/>
          <w:szCs w:val="28"/>
          <w:lang w:val="en-US" w:eastAsia="zh-CN" w:bidi="ar-SA"/>
        </w:rPr>
        <w:t>的</w:t>
      </w:r>
      <w:r>
        <w:rPr>
          <w:rFonts w:hint="default" w:ascii="仿宋" w:hAnsi="仿宋" w:eastAsia="仿宋" w:cs="仿宋"/>
          <w:b w:val="0"/>
          <w:bCs w:val="0"/>
          <w:kern w:val="2"/>
          <w:sz w:val="28"/>
          <w:szCs w:val="28"/>
          <w:lang w:val="en-US" w:eastAsia="zh-CN" w:bidi="ar-SA"/>
        </w:rPr>
        <w:t>建设，生态优势持续放大，获评湖南省美丽乡村示范村、湖南省秀美村庄、长沙市美丽乡村示范村、长沙市绿色村庄、长沙市两型示范村、长沙市垃圾分类示范村。</w:t>
      </w:r>
    </w:p>
    <w:p>
      <w:pPr>
        <w:keepNext w:val="0"/>
        <w:keepLines w:val="0"/>
        <w:pageBreakBefore w:val="0"/>
        <w:widowControl w:val="0"/>
        <w:tabs>
          <w:tab w:val="left" w:pos="2549"/>
        </w:tabs>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bookmarkStart w:id="31" w:name="_Toc13095"/>
      <w:bookmarkStart w:id="32" w:name="_Toc31452"/>
      <w:bookmarkStart w:id="33" w:name="_Toc15801"/>
      <w:r>
        <w:rPr>
          <w:rFonts w:hint="eastAsia" w:ascii="仿宋" w:hAnsi="仿宋" w:eastAsia="仿宋" w:cs="仿宋"/>
          <w:b/>
          <w:bCs/>
          <w:sz w:val="28"/>
          <w:szCs w:val="28"/>
          <w:lang w:val="en-US" w:eastAsia="zh-CN"/>
        </w:rPr>
        <w:t>2.3 存在问题</w:t>
      </w:r>
      <w:bookmarkEnd w:id="31"/>
      <w:bookmarkEnd w:id="32"/>
      <w:bookmarkEnd w:id="33"/>
    </w:p>
    <w:p>
      <w:pPr>
        <w:keepNext w:val="0"/>
        <w:keepLines w:val="0"/>
        <w:pageBreakBefore w:val="0"/>
        <w:widowControl w:val="0"/>
        <w:kinsoku/>
        <w:wordWrap/>
        <w:overflowPunct/>
        <w:topLinePunct w:val="0"/>
        <w:autoSpaceDE/>
        <w:autoSpaceDN/>
        <w:bidi w:val="0"/>
        <w:adjustRightInd/>
        <w:snapToGrid/>
        <w:spacing w:line="560" w:lineRule="atLeast"/>
        <w:ind w:left="0" w:leftChars="0" w:right="0" w:rightChars="0" w:firstLine="560" w:firstLineChars="200"/>
        <w:textAlignment w:val="auto"/>
        <w:outlineLvl w:val="9"/>
        <w:rPr>
          <w:rFonts w:hint="default"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1、农村面源污染方面。化肥、农药、农膜用量和秸秆综合利用率虽已达到长沙市生态文明建设示范村指标，但仍有提升空间。</w:t>
      </w:r>
    </w:p>
    <w:p>
      <w:pPr>
        <w:keepNext w:val="0"/>
        <w:keepLines w:val="0"/>
        <w:pageBreakBefore w:val="0"/>
        <w:widowControl w:val="0"/>
        <w:kinsoku/>
        <w:wordWrap/>
        <w:overflowPunct/>
        <w:topLinePunct w:val="0"/>
        <w:autoSpaceDE/>
        <w:autoSpaceDN/>
        <w:bidi w:val="0"/>
        <w:adjustRightInd/>
        <w:snapToGrid/>
        <w:spacing w:line="560" w:lineRule="atLeast"/>
        <w:ind w:left="0" w:leftChars="0" w:right="0" w:rightChars="0" w:firstLine="560" w:firstLineChars="200"/>
        <w:textAlignment w:val="auto"/>
        <w:outlineLvl w:val="9"/>
        <w:rPr>
          <w:rFonts w:hint="default"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2、经济方面。陈家桥村居民收入有待进一步提高。</w:t>
      </w:r>
    </w:p>
    <w:p>
      <w:pPr>
        <w:keepNext w:val="0"/>
        <w:keepLines w:val="0"/>
        <w:pageBreakBefore w:val="0"/>
        <w:widowControl w:val="0"/>
        <w:kinsoku/>
        <w:wordWrap/>
        <w:overflowPunct/>
        <w:topLinePunct w:val="0"/>
        <w:autoSpaceDE/>
        <w:autoSpaceDN/>
        <w:bidi w:val="0"/>
        <w:adjustRightInd/>
        <w:snapToGrid/>
        <w:spacing w:line="560" w:lineRule="atLeast"/>
        <w:ind w:left="0" w:leftChars="0" w:right="0" w:rightChars="0" w:firstLine="560" w:firstLineChars="200"/>
        <w:textAlignment w:val="auto"/>
        <w:outlineLvl w:val="9"/>
        <w:rPr>
          <w:rFonts w:hint="default"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3、目前陈家桥村每年需拨付专项补贴资金，聘请绿化养护员，签订管护协议，定期对重点区域和植物进行巡查养护，建立起了抚育管护的长效机制，资金支付压力大。</w:t>
      </w:r>
    </w:p>
    <w:p>
      <w:pPr>
        <w:keepNext w:val="0"/>
        <w:keepLines w:val="0"/>
        <w:pageBreakBefore w:val="0"/>
        <w:widowControl w:val="0"/>
        <w:kinsoku/>
        <w:wordWrap/>
        <w:overflowPunct/>
        <w:topLinePunct w:val="0"/>
        <w:autoSpaceDE/>
        <w:autoSpaceDN/>
        <w:bidi w:val="0"/>
        <w:adjustRightInd/>
        <w:snapToGrid/>
        <w:textAlignment w:val="auto"/>
        <w:outlineLvl w:val="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br w:type="page"/>
      </w:r>
      <w:bookmarkStart w:id="34" w:name="_Toc17853"/>
      <w:bookmarkStart w:id="35" w:name="_Toc14106"/>
      <w:bookmarkStart w:id="36" w:name="_Toc18159"/>
      <w:r>
        <w:rPr>
          <w:rFonts w:hint="eastAsia" w:ascii="仿宋" w:hAnsi="仿宋" w:eastAsia="仿宋" w:cs="仿宋"/>
          <w:b/>
          <w:bCs/>
          <w:sz w:val="32"/>
          <w:szCs w:val="32"/>
          <w:lang w:val="en-US" w:eastAsia="zh-CN"/>
        </w:rPr>
        <w:t>3 规划目标与指标</w:t>
      </w:r>
      <w:bookmarkEnd w:id="34"/>
      <w:bookmarkEnd w:id="35"/>
      <w:bookmarkEnd w:id="36"/>
    </w:p>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仿宋" w:hAnsi="仿宋" w:eastAsia="仿宋" w:cs="仿宋"/>
          <w:b/>
          <w:bCs/>
          <w:sz w:val="32"/>
          <w:szCs w:val="32"/>
          <w:lang w:val="en-US" w:eastAsia="zh-CN"/>
        </w:rPr>
      </w:pPr>
      <w:bookmarkStart w:id="37" w:name="_Toc19262"/>
      <w:bookmarkStart w:id="38" w:name="_Toc3117"/>
      <w:bookmarkStart w:id="39" w:name="_Toc9837"/>
      <w:r>
        <w:rPr>
          <w:rFonts w:hint="eastAsia" w:ascii="仿宋" w:hAnsi="仿宋" w:eastAsia="仿宋" w:cs="仿宋"/>
          <w:b/>
          <w:bCs/>
          <w:sz w:val="32"/>
          <w:szCs w:val="32"/>
          <w:lang w:val="en-US" w:eastAsia="zh-CN"/>
        </w:rPr>
        <w:t>3.1 规划目标</w:t>
      </w:r>
      <w:bookmarkEnd w:id="37"/>
      <w:bookmarkEnd w:id="38"/>
      <w:bookmarkEnd w:id="39"/>
    </w:p>
    <w:p>
      <w:pPr>
        <w:ind w:firstLine="560" w:firstLineChars="200"/>
        <w:rPr>
          <w:rFonts w:hint="default"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近期：2021年，提高陈家桥村秸秆综合利用率；</w:t>
      </w:r>
      <w:r>
        <w:rPr>
          <w:rFonts w:hint="eastAsia" w:ascii="仿宋" w:hAnsi="仿宋" w:eastAsia="仿宋" w:cs="仿宋"/>
          <w:b w:val="0"/>
          <w:bCs w:val="0"/>
          <w:kern w:val="2"/>
          <w:sz w:val="28"/>
          <w:szCs w:val="28"/>
          <w:u w:val="none"/>
          <w:lang w:val="en-US" w:eastAsia="zh-CN" w:bidi="ar-SA"/>
        </w:rPr>
        <w:t>对千公塘组、少家组、黑屋组共200余户的生活污水在三格式化粪池处理的基础上，采用四格式农户生活污水分散式处理</w:t>
      </w:r>
      <w:r>
        <w:rPr>
          <w:rFonts w:hint="eastAsia" w:ascii="仿宋" w:hAnsi="仿宋" w:eastAsia="仿宋" w:cs="仿宋"/>
          <w:sz w:val="28"/>
          <w:szCs w:val="28"/>
          <w:u w:val="none"/>
          <w:lang w:val="en-US" w:eastAsia="zh-CN"/>
        </w:rPr>
        <w:t>。</w:t>
      </w:r>
    </w:p>
    <w:p>
      <w:pPr>
        <w:ind w:firstLine="560" w:firstLineChars="200"/>
        <w:rPr>
          <w:rFonts w:hint="default"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中远期：</w:t>
      </w:r>
      <w:r>
        <w:rPr>
          <w:rFonts w:hint="default" w:ascii="Times New Roman" w:hAnsi="Times New Roman" w:eastAsia="仿宋" w:cs="Times New Roman"/>
          <w:b w:val="0"/>
          <w:bCs w:val="0"/>
          <w:kern w:val="2"/>
          <w:sz w:val="28"/>
          <w:szCs w:val="28"/>
          <w:lang w:val="en-US" w:eastAsia="zh-CN" w:bidi="ar-SA"/>
        </w:rPr>
        <w:t>2022~2025年，</w:t>
      </w:r>
      <w:r>
        <w:rPr>
          <w:rFonts w:hint="eastAsia" w:ascii="仿宋" w:hAnsi="仿宋" w:eastAsia="仿宋" w:cs="仿宋"/>
          <w:b w:val="0"/>
          <w:bCs w:val="0"/>
          <w:kern w:val="2"/>
          <w:sz w:val="28"/>
          <w:szCs w:val="28"/>
          <w:lang w:val="en-US" w:eastAsia="zh-CN" w:bidi="ar-SA"/>
        </w:rPr>
        <w:t>用四年的时间进一步巩固生态文明建设示范村创建的成果，加速城乡共建共享、基层组织建设，全力打造</w:t>
      </w:r>
      <w:r>
        <w:rPr>
          <w:rFonts w:hint="eastAsia" w:ascii="仿宋" w:hAnsi="仿宋" w:eastAsia="仿宋" w:cs="仿宋"/>
          <w:b w:val="0"/>
          <w:bCs w:val="0"/>
          <w:sz w:val="28"/>
          <w:szCs w:val="28"/>
          <w:lang w:val="en-US" w:eastAsia="zh-CN"/>
        </w:rPr>
        <w:t>生态文明建设示范村</w:t>
      </w:r>
      <w:r>
        <w:rPr>
          <w:rFonts w:hint="eastAsia" w:ascii="仿宋" w:hAnsi="仿宋" w:eastAsia="仿宋" w:cs="仿宋"/>
          <w:b w:val="0"/>
          <w:bCs w:val="0"/>
          <w:kern w:val="2"/>
          <w:sz w:val="28"/>
          <w:szCs w:val="28"/>
          <w:lang w:val="en-US" w:eastAsia="zh-CN" w:bidi="ar-SA"/>
        </w:rPr>
        <w:t>典范。</w:t>
      </w:r>
    </w:p>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仿宋" w:hAnsi="仿宋" w:eastAsia="仿宋" w:cs="仿宋"/>
          <w:b/>
          <w:bCs/>
          <w:sz w:val="32"/>
          <w:szCs w:val="32"/>
          <w:lang w:val="en-US" w:eastAsia="zh-CN"/>
        </w:rPr>
      </w:pPr>
      <w:bookmarkStart w:id="40" w:name="_Toc9859"/>
      <w:bookmarkStart w:id="41" w:name="_Toc11300"/>
      <w:bookmarkStart w:id="42" w:name="_Toc28931"/>
      <w:r>
        <w:rPr>
          <w:rFonts w:hint="eastAsia" w:ascii="仿宋" w:hAnsi="仿宋" w:eastAsia="仿宋" w:cs="仿宋"/>
          <w:b/>
          <w:bCs/>
          <w:sz w:val="32"/>
          <w:szCs w:val="32"/>
          <w:lang w:val="en-US" w:eastAsia="zh-CN"/>
        </w:rPr>
        <w:t>3.2 规划指标</w:t>
      </w:r>
      <w:bookmarkEnd w:id="40"/>
      <w:bookmarkEnd w:id="41"/>
      <w:bookmarkEnd w:id="42"/>
    </w:p>
    <w:p>
      <w:pPr>
        <w:ind w:firstLine="560" w:firstLineChars="200"/>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本次规划指标共18 项，参照《长沙市生态文明建设示范村指标》。陈家桥村现状对照长沙市生态文明建设示范村指标，除生态文明建设规划（方案）正在制定中，其余17项指标全部达标。具体见表 3-1。</w:t>
      </w:r>
    </w:p>
    <w:p>
      <w:pPr>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br w:type="page"/>
      </w:r>
    </w:p>
    <w:p>
      <w:pPr>
        <w:pStyle w:val="2"/>
        <w:spacing w:line="240" w:lineRule="auto"/>
        <w:jc w:val="center"/>
        <w:rPr>
          <w:rFonts w:hint="default"/>
          <w:b/>
          <w:bCs/>
          <w:u w:val="single"/>
          <w:lang w:val="en-US" w:eastAsia="zh-CN"/>
        </w:rPr>
      </w:pPr>
      <w:r>
        <w:rPr>
          <w:rFonts w:hint="eastAsia" w:ascii="仿宋" w:hAnsi="仿宋" w:eastAsia="仿宋" w:cs="仿宋"/>
          <w:b/>
          <w:bCs/>
          <w:kern w:val="2"/>
          <w:sz w:val="28"/>
          <w:szCs w:val="28"/>
          <w:u w:val="single"/>
          <w:lang w:val="en-US" w:eastAsia="zh-CN" w:bidi="ar-SA"/>
        </w:rPr>
        <w:t>表3-1  陈家桥村生态文明建设示范村指标</w:t>
      </w:r>
    </w:p>
    <w:tbl>
      <w:tblPr>
        <w:tblStyle w:val="13"/>
        <w:tblW w:w="501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91"/>
        <w:gridCol w:w="1818"/>
        <w:gridCol w:w="1077"/>
        <w:gridCol w:w="1112"/>
        <w:gridCol w:w="1055"/>
        <w:gridCol w:w="1377"/>
        <w:gridCol w:w="11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b/>
                <w:bCs/>
                <w:sz w:val="24"/>
                <w:szCs w:val="24"/>
                <w:u w:val="single"/>
              </w:rPr>
            </w:pPr>
            <w:r>
              <w:rPr>
                <w:rFonts w:hint="eastAsia" w:ascii="仿宋" w:hAnsi="仿宋" w:eastAsia="仿宋" w:cs="仿宋"/>
                <w:b/>
                <w:bCs/>
                <w:sz w:val="24"/>
                <w:szCs w:val="24"/>
                <w:u w:val="single"/>
              </w:rPr>
              <w:t>类别</w:t>
            </w:r>
          </w:p>
        </w:tc>
        <w:tc>
          <w:tcPr>
            <w:tcW w:w="1089" w:type="pct"/>
            <w:vAlign w:val="center"/>
          </w:tcPr>
          <w:p>
            <w:pPr>
              <w:pStyle w:val="25"/>
              <w:keepNext w:val="0"/>
              <w:keepLines w:val="0"/>
              <w:pageBreakBefore w:val="0"/>
              <w:widowControl w:val="0"/>
              <w:tabs>
                <w:tab w:val="left" w:pos="488"/>
              </w:tabs>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b/>
                <w:bCs/>
                <w:sz w:val="24"/>
                <w:szCs w:val="24"/>
                <w:u w:val="single"/>
              </w:rPr>
            </w:pPr>
            <w:r>
              <w:rPr>
                <w:rFonts w:hint="eastAsia" w:ascii="仿宋" w:hAnsi="仿宋" w:eastAsia="仿宋" w:cs="仿宋"/>
                <w:b/>
                <w:bCs/>
                <w:sz w:val="24"/>
                <w:szCs w:val="24"/>
                <w:u w:val="single"/>
              </w:rPr>
              <w:t>指</w:t>
            </w:r>
            <w:r>
              <w:rPr>
                <w:rFonts w:hint="eastAsia" w:ascii="仿宋" w:hAnsi="仿宋" w:eastAsia="仿宋" w:cs="仿宋"/>
                <w:b/>
                <w:bCs/>
                <w:sz w:val="24"/>
                <w:szCs w:val="24"/>
                <w:u w:val="single"/>
              </w:rPr>
              <w:tab/>
            </w:r>
            <w:r>
              <w:rPr>
                <w:rFonts w:hint="eastAsia" w:ascii="仿宋" w:hAnsi="仿宋" w:eastAsia="仿宋" w:cs="仿宋"/>
                <w:b/>
                <w:bCs/>
                <w:sz w:val="24"/>
                <w:szCs w:val="24"/>
                <w:u w:val="single"/>
              </w:rPr>
              <w:t>标</w:t>
            </w:r>
          </w:p>
        </w:tc>
        <w:tc>
          <w:tcPr>
            <w:tcW w:w="645" w:type="pct"/>
            <w:vAlign w:val="center"/>
          </w:tcPr>
          <w:p>
            <w:pPr>
              <w:pStyle w:val="25"/>
              <w:keepNext w:val="0"/>
              <w:keepLines w:val="0"/>
              <w:pageBreakBefore w:val="0"/>
              <w:widowControl w:val="0"/>
              <w:tabs>
                <w:tab w:val="left" w:pos="482"/>
              </w:tabs>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b/>
                <w:bCs/>
                <w:sz w:val="24"/>
                <w:szCs w:val="24"/>
                <w:u w:val="single"/>
              </w:rPr>
            </w:pPr>
            <w:r>
              <w:rPr>
                <w:rFonts w:hint="eastAsia" w:ascii="仿宋" w:hAnsi="仿宋" w:eastAsia="仿宋" w:cs="仿宋"/>
                <w:b/>
                <w:bCs/>
                <w:sz w:val="24"/>
                <w:szCs w:val="24"/>
                <w:u w:val="single"/>
              </w:rPr>
              <w:t>单位</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b/>
                <w:bCs/>
                <w:sz w:val="24"/>
                <w:szCs w:val="24"/>
                <w:u w:val="single"/>
              </w:rPr>
            </w:pPr>
            <w:r>
              <w:rPr>
                <w:rFonts w:hint="eastAsia" w:ascii="仿宋" w:hAnsi="仿宋" w:eastAsia="仿宋" w:cs="仿宋"/>
                <w:b/>
                <w:bCs/>
                <w:sz w:val="24"/>
                <w:szCs w:val="24"/>
                <w:u w:val="single"/>
              </w:rPr>
              <w:t>指标值</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b/>
                <w:bCs/>
                <w:sz w:val="24"/>
                <w:szCs w:val="24"/>
                <w:u w:val="single"/>
              </w:rPr>
            </w:pPr>
            <w:r>
              <w:rPr>
                <w:rFonts w:hint="eastAsia" w:ascii="仿宋" w:hAnsi="仿宋" w:eastAsia="仿宋" w:cs="仿宋"/>
                <w:b/>
                <w:bCs/>
                <w:sz w:val="24"/>
                <w:szCs w:val="24"/>
                <w:u w:val="single"/>
              </w:rPr>
              <w:t>指标属性</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b/>
                <w:bCs/>
                <w:sz w:val="24"/>
                <w:szCs w:val="24"/>
                <w:u w:val="single"/>
              </w:rPr>
            </w:pPr>
            <w:r>
              <w:rPr>
                <w:rFonts w:hint="eastAsia" w:ascii="仿宋" w:hAnsi="仿宋" w:eastAsia="仿宋" w:cs="仿宋"/>
                <w:b/>
                <w:bCs/>
                <w:sz w:val="24"/>
                <w:szCs w:val="24"/>
                <w:u w:val="single"/>
                <w:lang w:val="en-US" w:eastAsia="zh-CN"/>
              </w:rPr>
              <w:t>现状</w:t>
            </w:r>
            <w:r>
              <w:rPr>
                <w:rFonts w:hint="eastAsia" w:ascii="仿宋" w:hAnsi="仿宋" w:eastAsia="仿宋" w:cs="仿宋"/>
                <w:b/>
                <w:bCs/>
                <w:sz w:val="24"/>
                <w:szCs w:val="24"/>
                <w:u w:val="single"/>
              </w:rPr>
              <w:t>情况</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仿宋" w:hAnsi="仿宋" w:eastAsia="仿宋" w:cs="仿宋"/>
                <w:b/>
                <w:bCs/>
                <w:sz w:val="24"/>
                <w:szCs w:val="24"/>
                <w:u w:val="single"/>
                <w:lang w:val="en-US" w:eastAsia="zh-CN"/>
              </w:rPr>
            </w:pPr>
            <w:r>
              <w:rPr>
                <w:rFonts w:hint="eastAsia" w:ascii="仿宋" w:hAnsi="仿宋" w:eastAsia="仿宋" w:cs="仿宋"/>
                <w:b/>
                <w:bCs/>
                <w:sz w:val="24"/>
                <w:szCs w:val="24"/>
                <w:u w:val="single"/>
                <w:lang w:val="en-US" w:eastAsia="zh-CN"/>
              </w:rPr>
              <w:t>达标情况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生态制度</w:t>
            </w: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生态文明建设规划（方案）</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制定实施</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约束性指标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eastAsia="zh-CN"/>
              </w:rPr>
            </w:pPr>
            <w:r>
              <w:rPr>
                <w:rFonts w:hint="eastAsia" w:ascii="仿宋" w:hAnsi="仿宋" w:eastAsia="仿宋" w:cs="仿宋"/>
                <w:sz w:val="24"/>
                <w:szCs w:val="24"/>
                <w:u w:val="single"/>
                <w:lang w:val="en-US" w:eastAsia="zh-CN"/>
              </w:rPr>
              <w:t>正在</w:t>
            </w:r>
            <w:r>
              <w:rPr>
                <w:rFonts w:hint="eastAsia" w:ascii="仿宋" w:hAnsi="仿宋" w:eastAsia="仿宋" w:cs="仿宋"/>
                <w:sz w:val="24"/>
                <w:szCs w:val="24"/>
                <w:u w:val="single"/>
                <w:lang w:eastAsia="zh-CN"/>
              </w:rPr>
              <w:t>制定</w:t>
            </w:r>
            <w:r>
              <w:rPr>
                <w:rFonts w:hint="eastAsia" w:ascii="仿宋" w:hAnsi="仿宋" w:eastAsia="仿宋" w:cs="仿宋"/>
                <w:sz w:val="24"/>
                <w:szCs w:val="24"/>
                <w:u w:val="single"/>
              </w:rPr>
              <w:t>生态文明建设规划（方案</w:t>
            </w:r>
            <w:r>
              <w:rPr>
                <w:rFonts w:hint="eastAsia" w:ascii="仿宋" w:hAnsi="仿宋" w:eastAsia="仿宋" w:cs="仿宋"/>
                <w:sz w:val="24"/>
                <w:szCs w:val="24"/>
                <w:u w:val="single"/>
                <w:lang w:eastAsia="zh-CN"/>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正在制定中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restar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生产发展</w:t>
            </w: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农用化肥施用强度</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折纯， 千克/公顷</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≤300，或逐年下降</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约束性指标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eastAsia="zh-CN"/>
              </w:rPr>
            </w:pPr>
            <w:r>
              <w:rPr>
                <w:rFonts w:hint="eastAsia" w:ascii="仿宋" w:hAnsi="仿宋" w:eastAsia="仿宋" w:cs="仿宋"/>
                <w:spacing w:val="-47"/>
                <w:sz w:val="24"/>
                <w:szCs w:val="24"/>
                <w:u w:val="single"/>
              </w:rPr>
              <w:t>逐</w:t>
            </w:r>
            <w:r>
              <w:rPr>
                <w:rFonts w:hint="eastAsia" w:ascii="仿宋" w:hAnsi="仿宋" w:eastAsia="仿宋" w:cs="仿宋"/>
                <w:sz w:val="24"/>
                <w:szCs w:val="24"/>
                <w:u w:val="single"/>
              </w:rPr>
              <w:t>年下降</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pacing w:val="-47"/>
                <w:sz w:val="24"/>
                <w:szCs w:val="24"/>
                <w:u w:val="single"/>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农药施用强度</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折纯， 千克/公顷</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≤3.5，或逐年下降</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约束性指标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pacing w:val="-47"/>
                <w:sz w:val="24"/>
                <w:szCs w:val="24"/>
                <w:u w:val="single"/>
              </w:rPr>
              <w:t>逐</w:t>
            </w:r>
            <w:r>
              <w:rPr>
                <w:rFonts w:hint="eastAsia" w:ascii="仿宋" w:hAnsi="仿宋" w:eastAsia="仿宋" w:cs="仿宋"/>
                <w:sz w:val="24"/>
                <w:szCs w:val="24"/>
                <w:u w:val="single"/>
              </w:rPr>
              <w:t>年下降</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pacing w:val="-47"/>
                <w:sz w:val="24"/>
                <w:szCs w:val="24"/>
                <w:u w:val="single"/>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农作物秸秆综合利用率</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≥90</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约束性指标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90</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农膜回收率</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≥80</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约束性指标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80</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畜禽粪污综合利用率</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≥75</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参考性指标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75</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restar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生态良好</w:t>
            </w: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集中式饮用水水源地水质达标率</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100</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约束性指标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无集中</w:t>
            </w:r>
            <w:r>
              <w:rPr>
                <w:rFonts w:hint="eastAsia" w:ascii="仿宋" w:hAnsi="仿宋" w:eastAsia="仿宋" w:cs="仿宋"/>
                <w:sz w:val="24"/>
                <w:szCs w:val="24"/>
                <w:u w:val="single"/>
              </w:rPr>
              <w:t>饮用水水源地</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村镇饮用水卫生合格率</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100</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约束性指标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100</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生活污水处理率</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≥85</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约束性指标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90</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生活垃圾无害化处理率</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≥80</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约束性指标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90</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林草覆盖率</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≥40</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约束性指标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60</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河塘沟渠整治率</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≥90</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约束性指标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95</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restar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生活富裕</w:t>
            </w: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村（居）民人均可支配收入</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元/年</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逐年增加</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约束性指标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逐年增加</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使用清洁能源的户数比例</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≥70</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约束性指标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80</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卫生厕所普及率</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100</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约束性指标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100</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restar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乡风文明</w:t>
            </w: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开展生活垃圾分类收集的户数比</w:t>
            </w:r>
          </w:p>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例</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≥90</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约束性指标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95</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遵守节约资源和保护环境村（社区）规民约的农（居）户比例</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≥95</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r>
              <w:rPr>
                <w:rFonts w:hint="eastAsia" w:ascii="仿宋" w:hAnsi="仿宋" w:eastAsia="仿宋" w:cs="仿宋"/>
                <w:sz w:val="24"/>
                <w:szCs w:val="24"/>
                <w:u w:val="single"/>
              </w:rPr>
              <w:t>参考性指标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95</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7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rPr>
            </w:pPr>
          </w:p>
        </w:tc>
        <w:tc>
          <w:tcPr>
            <w:tcW w:w="1089"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kern w:val="2"/>
                <w:sz w:val="24"/>
                <w:szCs w:val="24"/>
                <w:u w:val="single"/>
                <w:lang w:val="zh-CN" w:eastAsia="zh-CN" w:bidi="zh-CN"/>
              </w:rPr>
            </w:pPr>
            <w:r>
              <w:rPr>
                <w:rFonts w:hint="eastAsia" w:ascii="仿宋" w:hAnsi="仿宋" w:eastAsia="仿宋" w:cs="仿宋"/>
                <w:sz w:val="24"/>
                <w:szCs w:val="24"/>
                <w:u w:val="single"/>
              </w:rPr>
              <w:t>政务公开制度执行率</w:t>
            </w:r>
          </w:p>
        </w:tc>
        <w:tc>
          <w:tcPr>
            <w:tcW w:w="64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kern w:val="2"/>
                <w:sz w:val="24"/>
                <w:szCs w:val="24"/>
                <w:u w:val="single"/>
                <w:lang w:val="zh-CN" w:eastAsia="zh-CN" w:bidi="zh-CN"/>
              </w:rPr>
            </w:pPr>
            <w:r>
              <w:rPr>
                <w:rFonts w:hint="eastAsia" w:ascii="仿宋" w:hAnsi="仿宋" w:eastAsia="仿宋" w:cs="仿宋"/>
                <w:sz w:val="24"/>
                <w:szCs w:val="24"/>
                <w:u w:val="single"/>
              </w:rPr>
              <w:t>%</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ascii="仿宋" w:hAnsi="仿宋" w:eastAsia="仿宋" w:cs="仿宋"/>
                <w:kern w:val="2"/>
                <w:sz w:val="24"/>
                <w:szCs w:val="24"/>
                <w:u w:val="single"/>
                <w:lang w:val="zh-CN" w:eastAsia="zh-CN" w:bidi="zh-CN"/>
              </w:rPr>
            </w:pPr>
            <w:r>
              <w:rPr>
                <w:rFonts w:hint="eastAsia" w:ascii="仿宋" w:hAnsi="仿宋" w:eastAsia="仿宋" w:cs="仿宋"/>
                <w:sz w:val="24"/>
                <w:szCs w:val="24"/>
                <w:u w:val="single"/>
              </w:rPr>
              <w:t>100</w:t>
            </w:r>
          </w:p>
        </w:tc>
        <w:tc>
          <w:tcPr>
            <w:tcW w:w="632"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仿宋" w:hAnsi="仿宋" w:eastAsia="仿宋" w:cs="仿宋"/>
                <w:kern w:val="2"/>
                <w:sz w:val="24"/>
                <w:szCs w:val="24"/>
                <w:u w:val="single"/>
                <w:lang w:val="zh-CN" w:eastAsia="zh-CN" w:bidi="zh-CN"/>
              </w:rPr>
            </w:pPr>
            <w:r>
              <w:rPr>
                <w:rFonts w:hint="eastAsia" w:ascii="仿宋" w:hAnsi="仿宋" w:eastAsia="仿宋" w:cs="仿宋"/>
                <w:sz w:val="24"/>
                <w:szCs w:val="24"/>
                <w:u w:val="single"/>
              </w:rPr>
              <w:t>参考性指标</w:t>
            </w:r>
          </w:p>
        </w:tc>
        <w:tc>
          <w:tcPr>
            <w:tcW w:w="825"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kern w:val="2"/>
                <w:sz w:val="24"/>
                <w:szCs w:val="24"/>
                <w:u w:val="single"/>
                <w:lang w:val="en-US" w:eastAsia="zh-CN" w:bidi="zh-CN"/>
              </w:rPr>
            </w:pPr>
            <w:r>
              <w:rPr>
                <w:rFonts w:hint="eastAsia" w:ascii="仿宋" w:hAnsi="仿宋" w:eastAsia="仿宋" w:cs="仿宋"/>
                <w:sz w:val="24"/>
                <w:szCs w:val="24"/>
                <w:u w:val="single"/>
                <w:lang w:val="en-US" w:eastAsia="zh-CN"/>
              </w:rPr>
              <w:t>100</w:t>
            </w:r>
          </w:p>
        </w:tc>
        <w:tc>
          <w:tcPr>
            <w:tcW w:w="666" w:type="pct"/>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u w:val="single"/>
                <w:lang w:val="en-US" w:eastAsia="zh-CN"/>
              </w:rPr>
              <w:t>达标</w:t>
            </w:r>
          </w:p>
        </w:tc>
      </w:tr>
    </w:tbl>
    <w:p>
      <w:pPr>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textAlignment w:val="auto"/>
        <w:outlineLvl w:val="0"/>
        <w:rPr>
          <w:rFonts w:hint="eastAsia" w:ascii="仿宋" w:hAnsi="仿宋" w:eastAsia="仿宋" w:cs="仿宋"/>
          <w:b/>
          <w:bCs/>
          <w:sz w:val="32"/>
          <w:szCs w:val="32"/>
          <w:u w:val="single"/>
          <w:lang w:val="en-US" w:eastAsia="zh-CN"/>
        </w:rPr>
      </w:pPr>
      <w:bookmarkStart w:id="43" w:name="_Toc25289"/>
      <w:bookmarkStart w:id="44" w:name="_Toc4191"/>
      <w:bookmarkStart w:id="45" w:name="_Toc13122"/>
      <w:r>
        <w:rPr>
          <w:rFonts w:hint="eastAsia" w:ascii="仿宋" w:hAnsi="仿宋" w:eastAsia="仿宋" w:cs="仿宋"/>
          <w:b/>
          <w:bCs/>
          <w:sz w:val="32"/>
          <w:szCs w:val="32"/>
          <w:u w:val="single"/>
          <w:lang w:val="en-US" w:eastAsia="zh-CN"/>
        </w:rPr>
        <w:t>4 重点任务</w:t>
      </w:r>
      <w:bookmarkEnd w:id="43"/>
      <w:bookmarkEnd w:id="44"/>
      <w:bookmarkEnd w:id="45"/>
    </w:p>
    <w:p>
      <w:pPr>
        <w:keepNext w:val="0"/>
        <w:keepLines w:val="0"/>
        <w:pageBreakBefore w:val="0"/>
        <w:widowControl w:val="0"/>
        <w:kinsoku/>
        <w:wordWrap/>
        <w:overflowPunct/>
        <w:topLinePunct w:val="0"/>
        <w:autoSpaceDE/>
        <w:autoSpaceDN/>
        <w:bidi w:val="0"/>
        <w:adjustRightInd/>
        <w:snapToGrid/>
        <w:textAlignment w:val="auto"/>
        <w:outlineLvl w:val="1"/>
        <w:rPr>
          <w:rFonts w:hint="default" w:ascii="仿宋" w:hAnsi="仿宋" w:eastAsia="仿宋" w:cs="仿宋"/>
          <w:b/>
          <w:bCs/>
          <w:sz w:val="28"/>
          <w:szCs w:val="28"/>
          <w:u w:val="single"/>
          <w:lang w:val="en-US" w:eastAsia="zh-CN"/>
        </w:rPr>
      </w:pPr>
      <w:bookmarkStart w:id="46" w:name="_Toc16495"/>
      <w:bookmarkStart w:id="47" w:name="_Toc4710"/>
      <w:bookmarkStart w:id="48" w:name="_Toc7612"/>
      <w:r>
        <w:rPr>
          <w:rFonts w:hint="eastAsia" w:ascii="仿宋" w:hAnsi="仿宋" w:eastAsia="仿宋" w:cs="仿宋"/>
          <w:b/>
          <w:bCs/>
          <w:sz w:val="28"/>
          <w:szCs w:val="28"/>
          <w:u w:val="single"/>
          <w:lang w:val="en-US" w:eastAsia="zh-CN"/>
        </w:rPr>
        <w:t>4.1 优化村域空间布局</w:t>
      </w:r>
      <w:bookmarkEnd w:id="46"/>
      <w:bookmarkEnd w:id="47"/>
      <w:bookmarkEnd w:id="48"/>
    </w:p>
    <w:p>
      <w:pPr>
        <w:keepNext w:val="0"/>
        <w:keepLines w:val="0"/>
        <w:pageBreakBefore w:val="0"/>
        <w:widowControl w:val="0"/>
        <w:kinsoku/>
        <w:wordWrap/>
        <w:overflowPunct/>
        <w:topLinePunct w:val="0"/>
        <w:autoSpaceDE/>
        <w:autoSpaceDN/>
        <w:bidi w:val="0"/>
        <w:adjustRightInd/>
        <w:snapToGrid/>
        <w:textAlignment w:val="auto"/>
        <w:outlineLvl w:val="2"/>
        <w:rPr>
          <w:rFonts w:hint="eastAsia" w:ascii="仿宋" w:hAnsi="仿宋" w:eastAsia="仿宋" w:cs="仿宋"/>
          <w:b/>
          <w:bCs/>
          <w:sz w:val="28"/>
          <w:szCs w:val="28"/>
          <w:u w:val="single"/>
          <w:lang w:val="en-US" w:eastAsia="zh-CN"/>
        </w:rPr>
      </w:pPr>
      <w:bookmarkStart w:id="49" w:name="_Toc10803"/>
      <w:bookmarkStart w:id="50" w:name="_Toc14570"/>
      <w:r>
        <w:rPr>
          <w:rFonts w:hint="eastAsia" w:ascii="仿宋" w:hAnsi="仿宋" w:eastAsia="仿宋" w:cs="仿宋"/>
          <w:b/>
          <w:bCs/>
          <w:sz w:val="28"/>
          <w:szCs w:val="28"/>
          <w:u w:val="single"/>
          <w:lang w:val="en-US" w:eastAsia="zh-CN"/>
        </w:rPr>
        <w:t>4.1.1 严格落实空间管制分区规划</w:t>
      </w:r>
      <w:bookmarkEnd w:id="49"/>
      <w:bookmarkEnd w:id="50"/>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i w:val="0"/>
          <w:iCs w:val="0"/>
          <w:caps w:val="0"/>
          <w:color w:val="333333"/>
          <w:spacing w:val="0"/>
          <w:sz w:val="28"/>
          <w:szCs w:val="28"/>
          <w:u w:val="single"/>
        </w:rPr>
        <w:t>以村域的整体发展为着眼点，在合理配置、集约使用空间资源、优化总体空间布局的基础上，统筹落实各专业规划的空间要素，对不同类型的土地开发实施分类指导，分级管制，分期许可，最终实现经济、社会和生态环境的整体最佳效益，创造居民点与自然生态的和谐关系，实现村域空间整体优化，建设特色鲜明的新农村。</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i w:val="0"/>
          <w:iCs w:val="0"/>
          <w:caps w:val="0"/>
          <w:color w:val="333333"/>
          <w:spacing w:val="0"/>
          <w:sz w:val="28"/>
          <w:szCs w:val="28"/>
          <w:u w:val="single"/>
        </w:rPr>
        <w:t>结合</w:t>
      </w:r>
      <w:r>
        <w:rPr>
          <w:rFonts w:hint="eastAsia" w:ascii="仿宋" w:hAnsi="仿宋" w:eastAsia="仿宋" w:cs="仿宋"/>
          <w:i w:val="0"/>
          <w:iCs w:val="0"/>
          <w:caps w:val="0"/>
          <w:color w:val="333333"/>
          <w:spacing w:val="0"/>
          <w:sz w:val="28"/>
          <w:szCs w:val="28"/>
          <w:u w:val="single"/>
          <w:lang w:val="en-US" w:eastAsia="zh-CN"/>
        </w:rPr>
        <w:t>陈家桥村村庄</w:t>
      </w:r>
      <w:r>
        <w:rPr>
          <w:rFonts w:hint="eastAsia" w:ascii="仿宋" w:hAnsi="仿宋" w:eastAsia="仿宋" w:cs="仿宋"/>
          <w:i w:val="0"/>
          <w:iCs w:val="0"/>
          <w:caps w:val="0"/>
          <w:color w:val="333333"/>
          <w:spacing w:val="0"/>
          <w:sz w:val="28"/>
          <w:szCs w:val="28"/>
          <w:u w:val="single"/>
        </w:rPr>
        <w:t>规划，将空间管制分区分为已建区、适宜建设区、限制建设区、禁止建设区：</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b/>
          <w:bCs/>
          <w:i w:val="0"/>
          <w:iCs w:val="0"/>
          <w:caps w:val="0"/>
          <w:color w:val="333333"/>
          <w:spacing w:val="0"/>
          <w:sz w:val="28"/>
          <w:szCs w:val="28"/>
          <w:u w:val="single"/>
        </w:rPr>
        <w:t>已建区</w:t>
      </w:r>
      <w:r>
        <w:rPr>
          <w:rFonts w:hint="eastAsia" w:ascii="仿宋" w:hAnsi="仿宋" w:eastAsia="仿宋" w:cs="仿宋"/>
          <w:i w:val="0"/>
          <w:iCs w:val="0"/>
          <w:caps w:val="0"/>
          <w:color w:val="333333"/>
          <w:spacing w:val="0"/>
          <w:sz w:val="28"/>
          <w:szCs w:val="28"/>
          <w:u w:val="single"/>
          <w:lang w:eastAsia="zh-CN"/>
        </w:rPr>
        <w:t>：</w:t>
      </w:r>
      <w:r>
        <w:rPr>
          <w:rFonts w:hint="eastAsia" w:ascii="仿宋" w:hAnsi="仿宋" w:eastAsia="仿宋" w:cs="仿宋"/>
          <w:i w:val="0"/>
          <w:iCs w:val="0"/>
          <w:caps w:val="0"/>
          <w:color w:val="333333"/>
          <w:spacing w:val="0"/>
          <w:sz w:val="28"/>
          <w:szCs w:val="28"/>
          <w:u w:val="single"/>
        </w:rPr>
        <w:t>村域范围已建区主要是村庄民聚居点的建设用地区域，也包括道路、综合服务设施、广场等村庄建设用地。已建成区范围内主要以改善整治措施为主。</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b/>
          <w:bCs/>
          <w:i w:val="0"/>
          <w:iCs w:val="0"/>
          <w:caps w:val="0"/>
          <w:color w:val="333333"/>
          <w:spacing w:val="0"/>
          <w:sz w:val="28"/>
          <w:szCs w:val="28"/>
          <w:u w:val="single"/>
        </w:rPr>
        <w:t>适宜建设区</w:t>
      </w:r>
      <w:r>
        <w:rPr>
          <w:rFonts w:hint="eastAsia" w:ascii="仿宋" w:hAnsi="仿宋" w:eastAsia="仿宋" w:cs="仿宋"/>
          <w:i w:val="0"/>
          <w:iCs w:val="0"/>
          <w:caps w:val="0"/>
          <w:color w:val="333333"/>
          <w:spacing w:val="0"/>
          <w:sz w:val="28"/>
          <w:szCs w:val="28"/>
          <w:u w:val="single"/>
          <w:lang w:eastAsia="zh-CN"/>
        </w:rPr>
        <w:t>：</w:t>
      </w:r>
      <w:r>
        <w:rPr>
          <w:rFonts w:hint="eastAsia" w:ascii="仿宋" w:hAnsi="仿宋" w:eastAsia="仿宋" w:cs="仿宋"/>
          <w:i w:val="0"/>
          <w:iCs w:val="0"/>
          <w:caps w:val="0"/>
          <w:color w:val="333333"/>
          <w:spacing w:val="0"/>
          <w:sz w:val="28"/>
          <w:szCs w:val="28"/>
          <w:u w:val="single"/>
        </w:rPr>
        <w:t>主要范围是靠近建成区周边，不属于基本农田的坡度适宜的用地范围，其将来可用作居民点新建用地、农村公益事业用地、基础设施用地、工矿建设区的区域。</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b/>
          <w:bCs/>
          <w:i w:val="0"/>
          <w:iCs w:val="0"/>
          <w:caps w:val="0"/>
          <w:color w:val="333333"/>
          <w:spacing w:val="0"/>
          <w:sz w:val="28"/>
          <w:szCs w:val="28"/>
          <w:u w:val="single"/>
        </w:rPr>
        <w:t>限制建设区</w:t>
      </w:r>
      <w:r>
        <w:rPr>
          <w:rFonts w:hint="eastAsia" w:ascii="仿宋" w:hAnsi="仿宋" w:eastAsia="仿宋" w:cs="仿宋"/>
          <w:i w:val="0"/>
          <w:iCs w:val="0"/>
          <w:caps w:val="0"/>
          <w:color w:val="333333"/>
          <w:spacing w:val="0"/>
          <w:sz w:val="28"/>
          <w:szCs w:val="28"/>
          <w:u w:val="single"/>
          <w:lang w:eastAsia="zh-CN"/>
        </w:rPr>
        <w:t>：</w:t>
      </w:r>
      <w:r>
        <w:rPr>
          <w:rFonts w:hint="eastAsia" w:ascii="仿宋" w:hAnsi="仿宋" w:eastAsia="仿宋" w:cs="仿宋"/>
          <w:i w:val="0"/>
          <w:iCs w:val="0"/>
          <w:caps w:val="0"/>
          <w:color w:val="333333"/>
          <w:spacing w:val="0"/>
          <w:sz w:val="28"/>
          <w:szCs w:val="28"/>
          <w:u w:val="single"/>
        </w:rPr>
        <w:t>将建设用地周边作为本次规划的控制发展用地，同时对独立企业、独立市政及独立公共服务设施及其他独立用地等区域内独立零星的建设用地，应综合治理，控制用地蔓延。控制发展区在规划期内保持原土地使用性质，非经原规划部门的批准同意，不得在该区内进行非农项目的开发建设。</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b/>
          <w:bCs/>
          <w:i w:val="0"/>
          <w:iCs w:val="0"/>
          <w:caps w:val="0"/>
          <w:color w:val="333333"/>
          <w:spacing w:val="0"/>
          <w:sz w:val="28"/>
          <w:szCs w:val="28"/>
          <w:u w:val="single"/>
        </w:rPr>
        <w:t>禁止建设区</w:t>
      </w:r>
      <w:r>
        <w:rPr>
          <w:rFonts w:hint="eastAsia" w:ascii="仿宋" w:hAnsi="仿宋" w:eastAsia="仿宋" w:cs="仿宋"/>
          <w:i w:val="0"/>
          <w:iCs w:val="0"/>
          <w:caps w:val="0"/>
          <w:color w:val="333333"/>
          <w:spacing w:val="0"/>
          <w:sz w:val="28"/>
          <w:szCs w:val="28"/>
          <w:u w:val="single"/>
          <w:lang w:eastAsia="zh-CN"/>
        </w:rPr>
        <w:t>：</w:t>
      </w:r>
      <w:r>
        <w:rPr>
          <w:rFonts w:hint="eastAsia" w:ascii="仿宋" w:hAnsi="仿宋" w:eastAsia="仿宋" w:cs="仿宋"/>
          <w:i w:val="0"/>
          <w:iCs w:val="0"/>
          <w:caps w:val="0"/>
          <w:color w:val="333333"/>
          <w:spacing w:val="0"/>
          <w:sz w:val="28"/>
          <w:szCs w:val="28"/>
          <w:u w:val="single"/>
        </w:rPr>
        <w:t>以上三区以外的用地为禁止建设区，规划禁止建设区包括基本农田、需保护的耕地、林地保护区、县道两侧10米、快速路两侧20米范围、地质灾害中高易发区等特殊控制区和水利、交通、电力、能源等基础设施的保护区。</w:t>
      </w:r>
    </w:p>
    <w:p>
      <w:pPr>
        <w:keepNext w:val="0"/>
        <w:keepLines w:val="0"/>
        <w:pageBreakBefore w:val="0"/>
        <w:widowControl w:val="0"/>
        <w:kinsoku/>
        <w:wordWrap/>
        <w:overflowPunct/>
        <w:topLinePunct w:val="0"/>
        <w:autoSpaceDE/>
        <w:autoSpaceDN/>
        <w:bidi w:val="0"/>
        <w:adjustRightInd/>
        <w:snapToGrid/>
        <w:textAlignment w:val="auto"/>
        <w:outlineLvl w:val="2"/>
        <w:rPr>
          <w:rFonts w:hint="eastAsia" w:ascii="仿宋" w:hAnsi="仿宋" w:eastAsia="仿宋" w:cs="仿宋"/>
          <w:b/>
          <w:bCs/>
          <w:sz w:val="28"/>
          <w:szCs w:val="28"/>
          <w:u w:val="single"/>
          <w:lang w:val="en-US" w:eastAsia="zh-CN"/>
        </w:rPr>
      </w:pPr>
      <w:bookmarkStart w:id="51" w:name="_Toc3728"/>
      <w:bookmarkStart w:id="52" w:name="_Toc2364"/>
      <w:r>
        <w:rPr>
          <w:rFonts w:hint="eastAsia" w:ascii="仿宋" w:hAnsi="仿宋" w:eastAsia="仿宋" w:cs="仿宋"/>
          <w:b/>
          <w:bCs/>
          <w:sz w:val="28"/>
          <w:szCs w:val="28"/>
          <w:u w:val="single"/>
          <w:lang w:val="en-US" w:eastAsia="zh-CN"/>
        </w:rPr>
        <w:t>4.1.2 严格落实村域产业布局规划</w:t>
      </w:r>
      <w:bookmarkEnd w:id="51"/>
      <w:bookmarkEnd w:id="52"/>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firstLineChars="200"/>
        <w:textAlignment w:val="center"/>
        <w:rPr>
          <w:rFonts w:hint="eastAsia" w:ascii="仿宋" w:hAnsi="仿宋" w:eastAsia="仿宋" w:cs="仿宋"/>
          <w:b/>
          <w:bCs/>
          <w:i w:val="0"/>
          <w:iCs w:val="0"/>
          <w:caps w:val="0"/>
          <w:color w:val="333333"/>
          <w:spacing w:val="0"/>
          <w:sz w:val="28"/>
          <w:szCs w:val="28"/>
          <w:u w:val="single"/>
        </w:rPr>
      </w:pPr>
      <w:r>
        <w:rPr>
          <w:rFonts w:hint="eastAsia" w:ascii="仿宋" w:hAnsi="仿宋" w:eastAsia="仿宋" w:cs="仿宋"/>
          <w:b/>
          <w:bCs/>
          <w:i w:val="0"/>
          <w:iCs w:val="0"/>
          <w:caps w:val="0"/>
          <w:color w:val="333333"/>
          <w:spacing w:val="0"/>
          <w:sz w:val="28"/>
          <w:szCs w:val="28"/>
          <w:u w:val="single"/>
          <w:lang w:eastAsia="zh-CN"/>
        </w:rPr>
        <w:t>（</w:t>
      </w:r>
      <w:r>
        <w:rPr>
          <w:rFonts w:hint="eastAsia" w:ascii="仿宋" w:hAnsi="仿宋" w:eastAsia="仿宋" w:cs="仿宋"/>
          <w:b/>
          <w:bCs/>
          <w:i w:val="0"/>
          <w:iCs w:val="0"/>
          <w:caps w:val="0"/>
          <w:color w:val="333333"/>
          <w:spacing w:val="0"/>
          <w:sz w:val="28"/>
          <w:szCs w:val="28"/>
          <w:u w:val="single"/>
          <w:lang w:val="en-US" w:eastAsia="zh-CN"/>
        </w:rPr>
        <w:t>1</w:t>
      </w:r>
      <w:r>
        <w:rPr>
          <w:rFonts w:hint="eastAsia" w:ascii="仿宋" w:hAnsi="仿宋" w:eastAsia="仿宋" w:cs="仿宋"/>
          <w:b/>
          <w:bCs/>
          <w:i w:val="0"/>
          <w:iCs w:val="0"/>
          <w:caps w:val="0"/>
          <w:color w:val="333333"/>
          <w:spacing w:val="0"/>
          <w:sz w:val="28"/>
          <w:szCs w:val="28"/>
          <w:u w:val="single"/>
          <w:lang w:eastAsia="zh-CN"/>
        </w:rPr>
        <w:t>）</w:t>
      </w:r>
      <w:r>
        <w:rPr>
          <w:rFonts w:hint="eastAsia" w:ascii="仿宋" w:hAnsi="仿宋" w:eastAsia="仿宋" w:cs="仿宋"/>
          <w:b/>
          <w:bCs/>
          <w:i w:val="0"/>
          <w:iCs w:val="0"/>
          <w:caps w:val="0"/>
          <w:color w:val="333333"/>
          <w:spacing w:val="0"/>
          <w:sz w:val="28"/>
          <w:szCs w:val="28"/>
          <w:u w:val="single"/>
        </w:rPr>
        <w:t>整体方向</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i w:val="0"/>
          <w:iCs w:val="0"/>
          <w:caps w:val="0"/>
          <w:color w:val="333333"/>
          <w:spacing w:val="0"/>
          <w:sz w:val="28"/>
          <w:szCs w:val="28"/>
          <w:u w:val="single"/>
        </w:rPr>
        <w:t>改良提升第一产业，限制性发展第二产业，大力发展第三产业。努力形成“以农育旅，以旅带农”的发展模式。</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i w:val="0"/>
          <w:iCs w:val="0"/>
          <w:caps w:val="0"/>
          <w:color w:val="333333"/>
          <w:spacing w:val="0"/>
          <w:sz w:val="28"/>
          <w:szCs w:val="28"/>
          <w:u w:val="single"/>
        </w:rPr>
        <w:t>一产：以生态环保、绿色发展为指导，发展精品苗木、花卉、药材、绿色蔬菜、优质水稻、特色水果为基础产业；</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i w:val="0"/>
          <w:iCs w:val="0"/>
          <w:caps w:val="0"/>
          <w:color w:val="333333"/>
          <w:spacing w:val="0"/>
          <w:sz w:val="28"/>
          <w:szCs w:val="28"/>
          <w:u w:val="single"/>
        </w:rPr>
        <w:t>二产：以循环经济和优化配置为原则，合理发展优质农产品、畜禽等农副产品生产加工和研发，优化深化产业链，限制发展建材产业（如砖厂、石材开发）；</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i w:val="0"/>
          <w:iCs w:val="0"/>
          <w:caps w:val="0"/>
          <w:color w:val="333333"/>
          <w:spacing w:val="0"/>
          <w:sz w:val="28"/>
          <w:szCs w:val="28"/>
          <w:u w:val="single"/>
        </w:rPr>
        <w:t>三产：结合南侧花卉苗木基地以及休闲垂钓、特色民俗、军事教育基地等旅游产业与村庄秀美广袤的生态田园风光，依托丰富农业资源和优势交通区位发展农业观光和乡村休闲度假</w:t>
      </w:r>
      <w:r>
        <w:rPr>
          <w:rFonts w:hint="eastAsia" w:ascii="仿宋" w:hAnsi="仿宋" w:eastAsia="仿宋" w:cs="仿宋"/>
          <w:i w:val="0"/>
          <w:iCs w:val="0"/>
          <w:caps w:val="0"/>
          <w:color w:val="333333"/>
          <w:spacing w:val="0"/>
          <w:sz w:val="28"/>
          <w:szCs w:val="28"/>
          <w:u w:val="single"/>
          <w:lang w:val="en-US" w:eastAsia="zh-CN"/>
        </w:rPr>
        <w:t>旅</w:t>
      </w:r>
      <w:r>
        <w:rPr>
          <w:rFonts w:hint="eastAsia" w:ascii="仿宋" w:hAnsi="仿宋" w:eastAsia="仿宋" w:cs="仿宋"/>
          <w:i w:val="0"/>
          <w:iCs w:val="0"/>
          <w:caps w:val="0"/>
          <w:color w:val="333333"/>
          <w:spacing w:val="0"/>
          <w:sz w:val="28"/>
          <w:szCs w:val="28"/>
          <w:u w:val="single"/>
        </w:rPr>
        <w:t>游。</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firstLineChars="200"/>
        <w:textAlignment w:val="center"/>
        <w:rPr>
          <w:rFonts w:hint="eastAsia" w:ascii="仿宋" w:hAnsi="仿宋" w:eastAsia="仿宋" w:cs="仿宋"/>
          <w:b/>
          <w:bCs/>
          <w:i w:val="0"/>
          <w:iCs w:val="0"/>
          <w:caps w:val="0"/>
          <w:color w:val="333333"/>
          <w:spacing w:val="0"/>
          <w:sz w:val="28"/>
          <w:szCs w:val="28"/>
          <w:u w:val="single"/>
        </w:rPr>
      </w:pPr>
      <w:r>
        <w:rPr>
          <w:rFonts w:hint="eastAsia" w:ascii="仿宋" w:hAnsi="仿宋" w:eastAsia="仿宋" w:cs="仿宋"/>
          <w:b/>
          <w:bCs/>
          <w:i w:val="0"/>
          <w:iCs w:val="0"/>
          <w:caps w:val="0"/>
          <w:color w:val="333333"/>
          <w:spacing w:val="0"/>
          <w:sz w:val="28"/>
          <w:szCs w:val="28"/>
          <w:u w:val="single"/>
          <w:lang w:eastAsia="zh-CN"/>
        </w:rPr>
        <w:t>（</w:t>
      </w:r>
      <w:r>
        <w:rPr>
          <w:rFonts w:hint="eastAsia" w:ascii="仿宋" w:hAnsi="仿宋" w:eastAsia="仿宋" w:cs="仿宋"/>
          <w:b/>
          <w:bCs/>
          <w:i w:val="0"/>
          <w:iCs w:val="0"/>
          <w:caps w:val="0"/>
          <w:color w:val="333333"/>
          <w:spacing w:val="0"/>
          <w:sz w:val="28"/>
          <w:szCs w:val="28"/>
          <w:u w:val="single"/>
          <w:lang w:val="en-US" w:eastAsia="zh-CN"/>
        </w:rPr>
        <w:t>2</w:t>
      </w:r>
      <w:r>
        <w:rPr>
          <w:rFonts w:hint="eastAsia" w:ascii="仿宋" w:hAnsi="仿宋" w:eastAsia="仿宋" w:cs="仿宋"/>
          <w:b/>
          <w:bCs/>
          <w:i w:val="0"/>
          <w:iCs w:val="0"/>
          <w:caps w:val="0"/>
          <w:color w:val="333333"/>
          <w:spacing w:val="0"/>
          <w:sz w:val="28"/>
          <w:szCs w:val="28"/>
          <w:u w:val="single"/>
          <w:lang w:eastAsia="zh-CN"/>
        </w:rPr>
        <w:t>）</w:t>
      </w:r>
      <w:r>
        <w:rPr>
          <w:rFonts w:hint="eastAsia" w:ascii="仿宋" w:hAnsi="仿宋" w:eastAsia="仿宋" w:cs="仿宋"/>
          <w:b/>
          <w:bCs/>
          <w:i w:val="0"/>
          <w:iCs w:val="0"/>
          <w:caps w:val="0"/>
          <w:color w:val="333333"/>
          <w:spacing w:val="0"/>
          <w:sz w:val="28"/>
          <w:szCs w:val="28"/>
          <w:u w:val="single"/>
        </w:rPr>
        <w:t>主导产业</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i w:val="0"/>
          <w:iCs w:val="0"/>
          <w:caps w:val="0"/>
          <w:color w:val="333333"/>
          <w:spacing w:val="0"/>
          <w:sz w:val="28"/>
          <w:szCs w:val="28"/>
          <w:u w:val="single"/>
        </w:rPr>
        <w:t>现代农业和特色种植：保护、改善陈家桥村农业生态环境，完善农业基础设施，改良土壤、灌溉条件。以特色种植为导向选择优质花卉、特色苗木、珍贵药材等具有一定科技含量的项目，形成规模种植以提高生态及经济效益，产销一体实现农业增值增效。</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i w:val="0"/>
          <w:iCs w:val="0"/>
          <w:caps w:val="0"/>
          <w:color w:val="333333"/>
          <w:spacing w:val="0"/>
          <w:sz w:val="28"/>
          <w:szCs w:val="28"/>
          <w:u w:val="single"/>
        </w:rPr>
        <w:t>农业观光和旅游服务业：从规模和数量上完善旅游服务配套设施，分散与集中布局相结合，依托花卉苗木与中药材基地、农田、自然山林资源，打造避暑休闲旅游和具有观赏意义、科普意义的观光农业，加强管理，提高陈家桥村接待规格，实现以农育旅、旅游富民的目标。</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firstLineChars="200"/>
        <w:textAlignment w:val="center"/>
        <w:rPr>
          <w:rFonts w:hint="eastAsia" w:ascii="仿宋" w:hAnsi="仿宋" w:eastAsia="仿宋" w:cs="仿宋"/>
          <w:b/>
          <w:bCs/>
          <w:i w:val="0"/>
          <w:iCs w:val="0"/>
          <w:caps w:val="0"/>
          <w:color w:val="333333"/>
          <w:spacing w:val="0"/>
          <w:sz w:val="28"/>
          <w:szCs w:val="28"/>
          <w:u w:val="single"/>
        </w:rPr>
      </w:pPr>
      <w:r>
        <w:rPr>
          <w:rFonts w:hint="eastAsia" w:ascii="仿宋" w:hAnsi="仿宋" w:eastAsia="仿宋" w:cs="仿宋"/>
          <w:b/>
          <w:bCs/>
          <w:i w:val="0"/>
          <w:iCs w:val="0"/>
          <w:caps w:val="0"/>
          <w:color w:val="333333"/>
          <w:spacing w:val="0"/>
          <w:sz w:val="28"/>
          <w:szCs w:val="28"/>
          <w:u w:val="single"/>
          <w:lang w:eastAsia="zh-CN"/>
        </w:rPr>
        <w:t>（</w:t>
      </w:r>
      <w:r>
        <w:rPr>
          <w:rFonts w:hint="eastAsia" w:ascii="仿宋" w:hAnsi="仿宋" w:eastAsia="仿宋" w:cs="仿宋"/>
          <w:b/>
          <w:bCs/>
          <w:i w:val="0"/>
          <w:iCs w:val="0"/>
          <w:caps w:val="0"/>
          <w:color w:val="333333"/>
          <w:spacing w:val="0"/>
          <w:sz w:val="28"/>
          <w:szCs w:val="28"/>
          <w:u w:val="single"/>
          <w:lang w:val="en-US" w:eastAsia="zh-CN"/>
        </w:rPr>
        <w:t>3</w:t>
      </w:r>
      <w:r>
        <w:rPr>
          <w:rFonts w:hint="eastAsia" w:ascii="仿宋" w:hAnsi="仿宋" w:eastAsia="仿宋" w:cs="仿宋"/>
          <w:b/>
          <w:bCs/>
          <w:i w:val="0"/>
          <w:iCs w:val="0"/>
          <w:caps w:val="0"/>
          <w:color w:val="333333"/>
          <w:spacing w:val="0"/>
          <w:sz w:val="28"/>
          <w:szCs w:val="28"/>
          <w:u w:val="single"/>
          <w:lang w:eastAsia="zh-CN"/>
        </w:rPr>
        <w:t>）</w:t>
      </w:r>
      <w:r>
        <w:rPr>
          <w:rFonts w:hint="eastAsia" w:ascii="仿宋" w:hAnsi="仿宋" w:eastAsia="仿宋" w:cs="仿宋"/>
          <w:b/>
          <w:bCs/>
          <w:i w:val="0"/>
          <w:iCs w:val="0"/>
          <w:caps w:val="0"/>
          <w:color w:val="333333"/>
          <w:spacing w:val="0"/>
          <w:sz w:val="28"/>
          <w:szCs w:val="28"/>
          <w:u w:val="single"/>
        </w:rPr>
        <w:t>产业空间布局</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i w:val="0"/>
          <w:iCs w:val="0"/>
          <w:caps w:val="0"/>
          <w:color w:val="333333"/>
          <w:spacing w:val="0"/>
          <w:sz w:val="28"/>
          <w:szCs w:val="28"/>
          <w:u w:val="single"/>
        </w:rPr>
        <w:t>产业分区规划为“一轴五区”：乡村农旅产业发展轴、特色经济作物种植区、休闲农业观光区、村庄聚居产业加工区、生态保育经济林业区以及水上乐园体验区：</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i w:val="0"/>
          <w:iCs w:val="0"/>
          <w:caps w:val="0"/>
          <w:color w:val="333333"/>
          <w:spacing w:val="0"/>
          <w:sz w:val="28"/>
          <w:szCs w:val="28"/>
          <w:u w:val="single"/>
        </w:rPr>
        <w:t>乡村农旅产业发展轴：以规划建设的南北向村庄主干道以及南环线为轴线，形成村域观光通廊，串联各个产业节点，成为陈家桥村农旅产业发展主轴；</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i w:val="0"/>
          <w:iCs w:val="0"/>
          <w:caps w:val="0"/>
          <w:color w:val="333333"/>
          <w:spacing w:val="0"/>
          <w:sz w:val="28"/>
          <w:szCs w:val="28"/>
          <w:u w:val="single"/>
        </w:rPr>
        <w:t>特色经济作物种植区：利用广阔的林地资源，大力发展花卉苗木与中药材特色种植。配套发展休闲垂钓、民宿旅游、特色水果等产业；。</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i w:val="0"/>
          <w:iCs w:val="0"/>
          <w:caps w:val="0"/>
          <w:color w:val="333333"/>
          <w:spacing w:val="0"/>
          <w:sz w:val="28"/>
          <w:szCs w:val="28"/>
          <w:u w:val="single"/>
        </w:rPr>
        <w:t>休闲农业观光区：将村域广袤的耕地农田重点利用，打造休闲观光农业区。重点发展休闲采摘、稻田艺术和农耕体验亲子教育项目；</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i w:val="0"/>
          <w:iCs w:val="0"/>
          <w:caps w:val="0"/>
          <w:color w:val="333333"/>
          <w:spacing w:val="0"/>
          <w:sz w:val="28"/>
          <w:szCs w:val="28"/>
          <w:u w:val="single"/>
        </w:rPr>
        <w:t>村庄聚居产业加工区：发动本地村民力量，深度参与到产业发展中来，将本地生产的农产品进行特色加工，如进行腌制、烘干等简单加工，环保包装，利用互联网对外销售；</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i w:val="0"/>
          <w:iCs w:val="0"/>
          <w:caps w:val="0"/>
          <w:color w:val="333333"/>
          <w:spacing w:val="0"/>
          <w:sz w:val="28"/>
          <w:szCs w:val="28"/>
          <w:u w:val="single"/>
        </w:rPr>
        <w:t>生态保育经济林业区：利用大面积的山体资源，种植本地油茶、杉树等经济林。用地条件较好，灌溉便利的区域可以重点发展苗木栽培种植；</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center"/>
        <w:rPr>
          <w:rFonts w:hint="eastAsia" w:ascii="仿宋" w:hAnsi="仿宋" w:eastAsia="仿宋" w:cs="仿宋"/>
          <w:i w:val="0"/>
          <w:iCs w:val="0"/>
          <w:caps w:val="0"/>
          <w:color w:val="333333"/>
          <w:spacing w:val="0"/>
          <w:sz w:val="28"/>
          <w:szCs w:val="28"/>
          <w:u w:val="single"/>
        </w:rPr>
      </w:pPr>
      <w:r>
        <w:rPr>
          <w:rFonts w:hint="eastAsia" w:ascii="仿宋" w:hAnsi="仿宋" w:eastAsia="仿宋" w:cs="仿宋"/>
          <w:i w:val="0"/>
          <w:iCs w:val="0"/>
          <w:caps w:val="0"/>
          <w:color w:val="333333"/>
          <w:spacing w:val="0"/>
          <w:sz w:val="28"/>
          <w:szCs w:val="28"/>
          <w:u w:val="single"/>
        </w:rPr>
        <w:t>水上乐园体验区：沿菁华河途经村域区域筑坝提升水位，打造村庄水上乐园，配套建设各项亲水设施、举行主题宣传活动，为村庄丰富产业结构。</w:t>
      </w:r>
    </w:p>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仿宋" w:hAnsi="仿宋" w:eastAsia="仿宋" w:cs="仿宋"/>
          <w:b/>
          <w:bCs/>
          <w:sz w:val="28"/>
          <w:szCs w:val="28"/>
          <w:u w:val="single"/>
          <w:lang w:val="en-US" w:eastAsia="zh-CN"/>
        </w:rPr>
      </w:pPr>
      <w:bookmarkStart w:id="53" w:name="_Toc27289"/>
      <w:bookmarkStart w:id="54" w:name="_Toc12198"/>
      <w:bookmarkStart w:id="55" w:name="_Toc16158"/>
      <w:r>
        <w:rPr>
          <w:rFonts w:hint="eastAsia" w:ascii="仿宋" w:hAnsi="仿宋" w:eastAsia="仿宋" w:cs="仿宋"/>
          <w:b/>
          <w:bCs/>
          <w:sz w:val="28"/>
          <w:szCs w:val="28"/>
          <w:u w:val="single"/>
          <w:lang w:val="en-US" w:eastAsia="zh-CN"/>
        </w:rPr>
        <w:t>4.2 发展特色优势生态产业</w:t>
      </w:r>
      <w:bookmarkEnd w:id="53"/>
      <w:bookmarkEnd w:id="54"/>
      <w:bookmarkEnd w:id="55"/>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2"/>
        <w:rPr>
          <w:rFonts w:hint="eastAsia" w:ascii="仿宋" w:hAnsi="仿宋" w:eastAsia="仿宋" w:cs="仿宋"/>
          <w:b/>
          <w:bCs/>
          <w:sz w:val="28"/>
          <w:szCs w:val="28"/>
          <w:u w:val="single"/>
          <w:lang w:val="en-US" w:eastAsia="zh-CN"/>
        </w:rPr>
      </w:pPr>
      <w:bookmarkStart w:id="56" w:name="_Toc12723"/>
      <w:bookmarkStart w:id="57" w:name="_Toc16248"/>
      <w:r>
        <w:rPr>
          <w:rFonts w:hint="eastAsia" w:ascii="仿宋" w:hAnsi="仿宋" w:eastAsia="仿宋" w:cs="仿宋"/>
          <w:b/>
          <w:bCs/>
          <w:sz w:val="28"/>
          <w:szCs w:val="28"/>
          <w:u w:val="single"/>
          <w:lang w:val="en-US" w:eastAsia="zh-CN"/>
        </w:rPr>
        <w:t>4.2.1 打造“生态文明建设示范村”品牌</w:t>
      </w:r>
      <w:bookmarkEnd w:id="56"/>
      <w:bookmarkEnd w:id="57"/>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_GB2312" w:eastAsia="仿宋_GB2312"/>
          <w:sz w:val="28"/>
          <w:szCs w:val="28"/>
          <w:u w:val="single"/>
          <w:lang w:val="en-US" w:eastAsia="zh-CN"/>
        </w:rPr>
      </w:pPr>
      <w:r>
        <w:rPr>
          <w:rFonts w:hint="eastAsia" w:ascii="仿宋_GB2312" w:eastAsia="仿宋_GB2312"/>
          <w:sz w:val="28"/>
          <w:szCs w:val="28"/>
          <w:u w:val="single"/>
        </w:rPr>
        <w:t>近年来，</w:t>
      </w:r>
      <w:r>
        <w:rPr>
          <w:rFonts w:hint="eastAsia" w:ascii="仿宋_GB2312" w:hAnsi="仿宋_GB2312" w:eastAsia="仿宋_GB2312" w:cs="仿宋_GB2312"/>
          <w:sz w:val="28"/>
          <w:szCs w:val="28"/>
          <w:u w:val="single"/>
        </w:rPr>
        <w:t>陈家桥村坚持以群众为主体深入推进人居环境整治，生态优势持续放大，</w:t>
      </w:r>
      <w:r>
        <w:rPr>
          <w:rFonts w:hint="eastAsia" w:ascii="仿宋_GB2312" w:hAnsi="宋体" w:eastAsia="仿宋_GB2312" w:cs="宋体"/>
          <w:sz w:val="28"/>
          <w:szCs w:val="28"/>
          <w:u w:val="single"/>
        </w:rPr>
        <w:t>先后成功创建省美丽乡村示范村，全县唯一的省级秀美村庄、长沙市市级绿色村庄和两型示范村、长沙市垃圾分类示范村、长沙市美丽乡村示范村、长沙市湿地建设村和县美丽乡村先进单位。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在此基础上，陈家桥村以美丽屋场为中心，在公共用地、房前屋后、庭院、边角绿地、菜地、屋巷小路打造生活绿化点及绿化林带，优化人居环境，兼顾绿化美化的作用。村内公共区域绿化以打造高标准绿化景点为目标，各树种间以相互不影响光照，不阻碍视线为原则。房前屋后的空地以及各类边角绿地，零星栽植景观树种，裸露地表撒播草籽作为植被，有效利用土地，营造人文生态景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并加强生态环境保护和环境卫生综合治理，建立起乡村环境治理长效机制，着力打造生态良好、农民安居的模范</w:t>
      </w:r>
      <w:r>
        <w:rPr>
          <w:rFonts w:hint="eastAsia" w:ascii="仿宋" w:hAnsi="仿宋" w:eastAsia="仿宋" w:cs="仿宋"/>
          <w:b w:val="0"/>
          <w:bCs w:val="0"/>
          <w:sz w:val="28"/>
          <w:szCs w:val="28"/>
          <w:u w:val="single"/>
          <w:lang w:val="en-US" w:eastAsia="zh-CN"/>
        </w:rPr>
        <w:t>生态文明建设示范</w:t>
      </w:r>
      <w:r>
        <w:rPr>
          <w:rFonts w:hint="eastAsia" w:ascii="仿宋" w:hAnsi="仿宋" w:eastAsia="仿宋" w:cs="仿宋"/>
          <w:sz w:val="28"/>
          <w:szCs w:val="28"/>
          <w:u w:val="single"/>
          <w:lang w:val="en-US" w:eastAsia="zh-CN"/>
        </w:rPr>
        <w:t>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2"/>
        <w:rPr>
          <w:rFonts w:hint="eastAsia" w:ascii="仿宋" w:hAnsi="仿宋" w:eastAsia="仿宋" w:cs="仿宋"/>
          <w:b/>
          <w:bCs/>
          <w:sz w:val="28"/>
          <w:szCs w:val="28"/>
          <w:u w:val="single"/>
          <w:lang w:val="en-US" w:eastAsia="zh-CN"/>
        </w:rPr>
      </w:pPr>
      <w:bookmarkStart w:id="58" w:name="_Toc27462"/>
      <w:bookmarkStart w:id="59" w:name="_Toc13733"/>
      <w:r>
        <w:rPr>
          <w:rFonts w:hint="eastAsia" w:ascii="仿宋" w:hAnsi="仿宋" w:eastAsia="仿宋" w:cs="仿宋"/>
          <w:b/>
          <w:bCs/>
          <w:sz w:val="28"/>
          <w:szCs w:val="28"/>
          <w:u w:val="single"/>
          <w:lang w:val="en-US" w:eastAsia="zh-CN"/>
        </w:rPr>
        <w:t>4.2.2 大力开展庭院经济</w:t>
      </w:r>
      <w:bookmarkEnd w:id="58"/>
      <w:bookmarkEnd w:id="59"/>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坚持逆向整治原则，将产业发展与农房建设和整治结合起来，充分利用陈家桥村家家户户房前屋后院落以及周围空地、水塘，发展特色庭院经济，发挥其“小而全”的特点和优势，提高土地和空间利用率，利用农业剩余劳动力和劳动时间，增加农民收入，繁荣农村经济，活跃和丰富城乡市场，改善农村环境，达到助农增收、美化家园的目的。根据市场需求、环境条件、生活习惯、家庭定位，引导鼓励农民自主选择，合理利用空间资源，家家户户实现生产发展、生活富裕、生态良好的发展模式。</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outlineLvl w:val="2"/>
        <w:rPr>
          <w:rFonts w:hint="eastAsia" w:ascii="仿宋" w:hAnsi="仿宋" w:eastAsia="仿宋" w:cs="仿宋"/>
          <w:b/>
          <w:bCs/>
          <w:sz w:val="28"/>
          <w:szCs w:val="28"/>
          <w:u w:val="single"/>
          <w:lang w:val="en-US" w:eastAsia="zh-CN"/>
        </w:rPr>
      </w:pPr>
      <w:bookmarkStart w:id="60" w:name="_Toc7531"/>
      <w:bookmarkStart w:id="61" w:name="_Toc26813"/>
      <w:r>
        <w:rPr>
          <w:rFonts w:hint="eastAsia" w:ascii="仿宋" w:hAnsi="仿宋" w:eastAsia="仿宋" w:cs="仿宋"/>
          <w:b/>
          <w:bCs/>
          <w:sz w:val="28"/>
          <w:szCs w:val="28"/>
          <w:u w:val="single"/>
          <w:lang w:val="en-US" w:eastAsia="zh-CN"/>
        </w:rPr>
        <w:t>4.2.3 大力发展生态农业</w:t>
      </w:r>
      <w:bookmarkEnd w:id="60"/>
      <w:bookmarkEnd w:id="61"/>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u w:val="single"/>
          <w:lang w:val="en-US" w:eastAsia="zh-CN"/>
        </w:rPr>
        <w:t>陈家桥村土质肥沃，水资源充沛，农业发展良好。在现有农业基础上，一是加大高产水稻和经济作物的种植面积，有序规划作物类型和分布区域，在增加农作物产量和质量的同时，增加农田的观赏性，开发生态农村游。并降低农药和化肥使用率，推广生态治虫和有机肥的使用。充分利用可用资源，推广秸秆还田，也可回填荒草沤肥，在提高土壤钾素含量同时降低磷钾肥用量。二是通过千亩苗木基地开发研学、民宿、观光、游玩、乡村农耕体验于一体的森林植物园。</w:t>
      </w:r>
    </w:p>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仿宋" w:hAnsi="仿宋" w:eastAsia="仿宋" w:cs="仿宋"/>
          <w:b/>
          <w:bCs/>
          <w:sz w:val="28"/>
          <w:szCs w:val="28"/>
          <w:u w:val="single"/>
          <w:lang w:val="en-US" w:eastAsia="zh-CN"/>
        </w:rPr>
      </w:pPr>
      <w:bookmarkStart w:id="62" w:name="_Toc29496"/>
      <w:bookmarkStart w:id="63" w:name="_Toc14137"/>
      <w:bookmarkStart w:id="64" w:name="_Toc30115"/>
      <w:r>
        <w:rPr>
          <w:rFonts w:hint="eastAsia" w:ascii="仿宋" w:hAnsi="仿宋" w:eastAsia="仿宋" w:cs="仿宋"/>
          <w:b/>
          <w:bCs/>
          <w:sz w:val="28"/>
          <w:szCs w:val="28"/>
          <w:u w:val="single"/>
          <w:lang w:val="en-US" w:eastAsia="zh-CN"/>
        </w:rPr>
        <w:t>4.3 保护乡村生态环境</w:t>
      </w:r>
      <w:bookmarkEnd w:id="62"/>
      <w:bookmarkEnd w:id="63"/>
      <w:bookmarkEnd w:id="64"/>
    </w:p>
    <w:p>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auto"/>
        <w:outlineLvl w:val="2"/>
        <w:rPr>
          <w:rFonts w:hint="eastAsia" w:ascii="仿宋" w:hAnsi="仿宋" w:eastAsia="仿宋" w:cs="仿宋"/>
          <w:b/>
          <w:bCs/>
          <w:sz w:val="28"/>
          <w:szCs w:val="28"/>
          <w:u w:val="single"/>
          <w:lang w:val="en-US" w:eastAsia="zh-CN"/>
        </w:rPr>
      </w:pPr>
      <w:bookmarkStart w:id="65" w:name="_Toc12955"/>
      <w:bookmarkStart w:id="66" w:name="_Toc26428"/>
      <w:r>
        <w:rPr>
          <w:rFonts w:hint="eastAsia" w:ascii="仿宋" w:hAnsi="仿宋" w:eastAsia="仿宋" w:cs="仿宋"/>
          <w:b/>
          <w:bCs/>
          <w:sz w:val="28"/>
          <w:szCs w:val="28"/>
          <w:u w:val="single"/>
          <w:lang w:val="en-US" w:eastAsia="zh-CN"/>
        </w:rPr>
        <w:t>4.3.1 水环境污染治理</w:t>
      </w:r>
      <w:bookmarkEnd w:id="65"/>
      <w:bookmarkEnd w:id="66"/>
    </w:p>
    <w:p>
      <w:pPr>
        <w:pStyle w:val="2"/>
        <w:rPr>
          <w:rFonts w:hint="default" w:ascii="仿宋" w:hAnsi="仿宋" w:eastAsia="仿宋" w:cs="仿宋"/>
          <w:b w:val="0"/>
          <w:bCs w:val="0"/>
          <w:kern w:val="2"/>
          <w:sz w:val="28"/>
          <w:szCs w:val="28"/>
          <w:u w:val="single"/>
          <w:lang w:val="en-US" w:eastAsia="zh-CN" w:bidi="ar-SA"/>
        </w:rPr>
      </w:pPr>
      <w:r>
        <w:rPr>
          <w:rFonts w:hint="eastAsia" w:ascii="仿宋" w:hAnsi="仿宋" w:eastAsia="仿宋" w:cs="仿宋"/>
          <w:b/>
          <w:bCs/>
          <w:kern w:val="2"/>
          <w:sz w:val="28"/>
          <w:szCs w:val="28"/>
          <w:u w:val="single"/>
          <w:lang w:val="en-US" w:eastAsia="zh-CN" w:bidi="ar-SA"/>
        </w:rPr>
        <w:t>生活污水治理</w:t>
      </w:r>
      <w:r>
        <w:rPr>
          <w:rFonts w:hint="eastAsia" w:ascii="仿宋" w:hAnsi="仿宋" w:eastAsia="仿宋" w:cs="仿宋"/>
          <w:b w:val="0"/>
          <w:bCs w:val="0"/>
          <w:kern w:val="2"/>
          <w:sz w:val="28"/>
          <w:szCs w:val="28"/>
          <w:u w:val="single"/>
          <w:lang w:val="en-US" w:eastAsia="zh-CN" w:bidi="ar-SA"/>
        </w:rPr>
        <w:t>。2021年，对千公塘组、少家组、黑屋组共200余户的生活污水在三格式化粪池处理的基础上，采用四格式农户生活污水分散式处理。</w:t>
      </w:r>
    </w:p>
    <w:p>
      <w:pPr>
        <w:pStyle w:val="2"/>
        <w:rPr>
          <w:rFonts w:hint="default" w:ascii="仿宋" w:hAnsi="仿宋" w:eastAsia="仿宋" w:cs="仿宋"/>
          <w:b w:val="0"/>
          <w:bCs w:val="0"/>
          <w:kern w:val="2"/>
          <w:sz w:val="28"/>
          <w:szCs w:val="28"/>
          <w:u w:val="single"/>
          <w:lang w:val="en-US" w:eastAsia="zh-CN" w:bidi="ar-SA"/>
        </w:rPr>
      </w:pPr>
      <w:r>
        <w:rPr>
          <w:rFonts w:hint="default" w:ascii="仿宋" w:hAnsi="仿宋" w:eastAsia="仿宋" w:cs="仿宋"/>
          <w:b/>
          <w:bCs/>
          <w:kern w:val="2"/>
          <w:sz w:val="28"/>
          <w:szCs w:val="28"/>
          <w:u w:val="single"/>
          <w:lang w:val="en-US" w:eastAsia="zh-CN" w:bidi="ar-SA"/>
        </w:rPr>
        <w:t>推进农</w:t>
      </w:r>
      <w:r>
        <w:rPr>
          <w:rFonts w:hint="eastAsia" w:ascii="仿宋" w:hAnsi="仿宋" w:eastAsia="仿宋" w:cs="仿宋"/>
          <w:b/>
          <w:bCs/>
          <w:kern w:val="2"/>
          <w:sz w:val="28"/>
          <w:szCs w:val="28"/>
          <w:u w:val="single"/>
          <w:lang w:val="en-US" w:eastAsia="zh-CN" w:bidi="ar-SA"/>
        </w:rPr>
        <w:t>村</w:t>
      </w:r>
      <w:r>
        <w:rPr>
          <w:rFonts w:hint="default" w:ascii="仿宋" w:hAnsi="仿宋" w:eastAsia="仿宋" w:cs="仿宋"/>
          <w:b/>
          <w:bCs/>
          <w:kern w:val="2"/>
          <w:sz w:val="28"/>
          <w:szCs w:val="28"/>
          <w:u w:val="single"/>
          <w:lang w:val="en-US" w:eastAsia="zh-CN" w:bidi="ar-SA"/>
        </w:rPr>
        <w:t>面源污染治理。</w:t>
      </w:r>
      <w:r>
        <w:rPr>
          <w:rFonts w:hint="eastAsia" w:ascii="仿宋" w:hAnsi="仿宋" w:eastAsia="仿宋" w:cs="仿宋"/>
          <w:b w:val="0"/>
          <w:bCs w:val="0"/>
          <w:kern w:val="2"/>
          <w:sz w:val="28"/>
          <w:szCs w:val="28"/>
          <w:u w:val="single"/>
          <w:lang w:val="en-US" w:eastAsia="zh-CN" w:bidi="ar-SA"/>
        </w:rPr>
        <w:t>进一步巩固</w:t>
      </w:r>
      <w:r>
        <w:rPr>
          <w:rFonts w:hint="default" w:ascii="仿宋" w:hAnsi="仿宋" w:eastAsia="仿宋" w:cs="仿宋"/>
          <w:b w:val="0"/>
          <w:bCs w:val="0"/>
          <w:kern w:val="2"/>
          <w:sz w:val="28"/>
          <w:szCs w:val="28"/>
          <w:u w:val="single"/>
          <w:lang w:val="en-US" w:eastAsia="zh-CN" w:bidi="ar-SA"/>
        </w:rPr>
        <w:t>农村生活污水治理，完善污水处理设施；加强对农村面源污染防治的宣传教育力度</w:t>
      </w:r>
      <w:r>
        <w:rPr>
          <w:rFonts w:hint="eastAsia" w:ascii="仿宋" w:hAnsi="仿宋" w:eastAsia="仿宋" w:cs="仿宋"/>
          <w:b w:val="0"/>
          <w:bCs w:val="0"/>
          <w:kern w:val="2"/>
          <w:sz w:val="28"/>
          <w:szCs w:val="28"/>
          <w:u w:val="single"/>
          <w:lang w:val="en-US" w:eastAsia="zh-CN" w:bidi="ar-SA"/>
        </w:rPr>
        <w:t>，</w:t>
      </w:r>
      <w:r>
        <w:rPr>
          <w:rFonts w:hint="default" w:ascii="仿宋" w:hAnsi="仿宋" w:eastAsia="仿宋" w:cs="仿宋"/>
          <w:b w:val="0"/>
          <w:bCs w:val="0"/>
          <w:kern w:val="2"/>
          <w:sz w:val="28"/>
          <w:szCs w:val="28"/>
          <w:u w:val="single"/>
          <w:lang w:val="en-US" w:eastAsia="zh-CN" w:bidi="ar-SA"/>
        </w:rPr>
        <w:t>扩大农业面源污染的监管。</w:t>
      </w:r>
    </w:p>
    <w:p>
      <w:pPr>
        <w:ind w:firstLine="562" w:firstLineChars="200"/>
        <w:rPr>
          <w:rFonts w:hint="eastAsia"/>
          <w:sz w:val="28"/>
          <w:szCs w:val="28"/>
          <w:u w:val="single"/>
          <w:lang w:val="en-US" w:eastAsia="zh-CN"/>
        </w:rPr>
      </w:pPr>
      <w:r>
        <w:rPr>
          <w:rFonts w:hint="eastAsia" w:ascii="仿宋" w:hAnsi="仿宋" w:eastAsia="仿宋" w:cs="仿宋"/>
          <w:b/>
          <w:bCs/>
          <w:kern w:val="2"/>
          <w:sz w:val="28"/>
          <w:szCs w:val="28"/>
          <w:u w:val="single"/>
          <w:lang w:val="en-US" w:eastAsia="zh-CN" w:bidi="ar-SA"/>
        </w:rPr>
        <w:t>完善村域河塘沟渠。</w:t>
      </w:r>
      <w:r>
        <w:rPr>
          <w:rFonts w:hint="eastAsia" w:ascii="仿宋" w:hAnsi="仿宋" w:eastAsia="仿宋" w:cs="仿宋"/>
          <w:b w:val="0"/>
          <w:bCs w:val="0"/>
          <w:kern w:val="2"/>
          <w:sz w:val="28"/>
          <w:szCs w:val="28"/>
          <w:u w:val="single"/>
          <w:lang w:val="en-US" w:eastAsia="zh-CN" w:bidi="ar-SA"/>
        </w:rPr>
        <w:t>完善和维护现有的主要水渠，全面保持现有的水域面积，并尽量保持其容量不再减少。整理修缮全村的河塘、沟渠，保障农田灌溉，对两村灌溉沟渠沿岸防洪堤进行加固。陈家桥村内集中居民点地势较为平坦，但山体较多，应加强山洪防治工程。规划山体坡底设置截洪沟，平面布置应力求顺直，就近排入水系或低洼农田。</w:t>
      </w:r>
      <w:r>
        <w:rPr>
          <w:rFonts w:hint="eastAsia" w:ascii="仿宋" w:hAnsi="仿宋" w:eastAsia="仿宋" w:cs="仿宋"/>
          <w:b w:val="0"/>
          <w:bCs w:val="0"/>
          <w:kern w:val="2"/>
          <w:sz w:val="28"/>
          <w:szCs w:val="28"/>
          <w:highlight w:val="none"/>
          <w:u w:val="single"/>
          <w:lang w:val="en-US" w:eastAsia="zh-CN" w:bidi="ar-SA"/>
        </w:rPr>
        <w:t>规划到2022年年底，河塘沟渠整治率达到96%。</w:t>
      </w:r>
    </w:p>
    <w:p>
      <w:pPr>
        <w:ind w:firstLine="562" w:firstLineChars="200"/>
        <w:rPr>
          <w:rFonts w:hint="eastAsia" w:ascii="仿宋" w:hAnsi="仿宋" w:eastAsia="仿宋" w:cs="仿宋"/>
          <w:b w:val="0"/>
          <w:bCs w:val="0"/>
          <w:kern w:val="2"/>
          <w:sz w:val="28"/>
          <w:szCs w:val="28"/>
          <w:u w:val="single"/>
          <w:lang w:val="en-US" w:eastAsia="zh-CN" w:bidi="ar-SA"/>
        </w:rPr>
      </w:pPr>
      <w:r>
        <w:rPr>
          <w:rFonts w:hint="eastAsia" w:ascii="仿宋" w:hAnsi="仿宋" w:eastAsia="仿宋" w:cs="仿宋"/>
          <w:b/>
          <w:bCs/>
          <w:kern w:val="2"/>
          <w:sz w:val="28"/>
          <w:szCs w:val="28"/>
          <w:u w:val="single"/>
          <w:lang w:val="en-US" w:eastAsia="zh-CN" w:bidi="ar-SA"/>
        </w:rPr>
        <w:t>结合河长制实施，落实巡查制度。</w:t>
      </w:r>
      <w:r>
        <w:rPr>
          <w:rFonts w:hint="eastAsia" w:ascii="仿宋" w:hAnsi="仿宋" w:eastAsia="仿宋" w:cs="仿宋"/>
          <w:b w:val="0"/>
          <w:bCs w:val="0"/>
          <w:kern w:val="2"/>
          <w:sz w:val="28"/>
          <w:szCs w:val="28"/>
          <w:u w:val="single"/>
          <w:lang w:val="en-US" w:eastAsia="zh-CN" w:bidi="ar-SA"/>
        </w:rPr>
        <w:t>除民间义务河长外，村成立村干部、组长、优秀党员、离退休老同志近20人的巡查队伍，除已承包的山塘列入承包合同由承包农户自行管理外，其余河坝、渠道按网格专人负责管理，重点巡查在恶劣天气情况下山洪所带来的污染物，巡护人员现场处理零星漂浮物，村环境治理从业人员治理量多的漂浮物，确保山塘河坝渠道干净整洁。</w:t>
      </w:r>
    </w:p>
    <w:p>
      <w:pPr>
        <w:pStyle w:val="2"/>
        <w:rPr>
          <w:rFonts w:hint="eastAsia" w:ascii="仿宋" w:hAnsi="仿宋" w:eastAsia="仿宋" w:cs="仿宋"/>
          <w:b w:val="0"/>
          <w:bCs w:val="0"/>
          <w:kern w:val="2"/>
          <w:sz w:val="28"/>
          <w:szCs w:val="28"/>
          <w:u w:val="single"/>
          <w:lang w:val="en-US" w:eastAsia="zh-CN" w:bidi="ar-SA"/>
        </w:rPr>
      </w:pPr>
      <w:r>
        <w:rPr>
          <w:rFonts w:hint="eastAsia" w:ascii="仿宋" w:hAnsi="仿宋" w:eastAsia="仿宋" w:cs="仿宋"/>
          <w:b/>
          <w:bCs/>
          <w:kern w:val="2"/>
          <w:sz w:val="28"/>
          <w:szCs w:val="28"/>
          <w:u w:val="single"/>
          <w:lang w:val="en-US" w:eastAsia="zh-CN" w:bidi="ar-SA"/>
        </w:rPr>
        <w:t>普及节水器具。</w:t>
      </w:r>
      <w:r>
        <w:rPr>
          <w:rFonts w:hint="eastAsia" w:ascii="仿宋" w:hAnsi="仿宋" w:eastAsia="仿宋" w:cs="仿宋"/>
          <w:b w:val="0"/>
          <w:bCs w:val="0"/>
          <w:kern w:val="2"/>
          <w:sz w:val="28"/>
          <w:szCs w:val="28"/>
          <w:u w:val="single"/>
          <w:lang w:val="en-US" w:eastAsia="zh-CN" w:bidi="ar-SA"/>
        </w:rPr>
        <w:t>依据可持续发展理论和国家推行节约用水总的指导思想，本着合理利用与保护资源环境的目的，要大力宣传普及节水知识、技术与器具，以减少生活和生产废水排放量。</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2"/>
        <w:rPr>
          <w:rFonts w:hint="eastAsia" w:ascii="仿宋" w:hAnsi="仿宋" w:eastAsia="仿宋" w:cs="仿宋"/>
          <w:b/>
          <w:bCs/>
          <w:sz w:val="28"/>
          <w:szCs w:val="28"/>
          <w:u w:val="single"/>
          <w:lang w:val="en-US" w:eastAsia="zh-CN"/>
        </w:rPr>
      </w:pPr>
      <w:bookmarkStart w:id="67" w:name="_Toc4352"/>
      <w:bookmarkStart w:id="68" w:name="_Toc29058"/>
      <w:r>
        <w:rPr>
          <w:rFonts w:hint="eastAsia" w:ascii="仿宋" w:hAnsi="仿宋" w:eastAsia="仿宋" w:cs="仿宋"/>
          <w:b/>
          <w:bCs/>
          <w:sz w:val="28"/>
          <w:szCs w:val="28"/>
          <w:u w:val="single"/>
          <w:lang w:val="en-US" w:eastAsia="zh-CN"/>
        </w:rPr>
        <w:t>4.3.2 大气环境污染防治</w:t>
      </w:r>
      <w:bookmarkEnd w:id="67"/>
      <w:bookmarkEnd w:id="68"/>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val="0"/>
          <w:bCs w:val="0"/>
          <w:kern w:val="2"/>
          <w:sz w:val="28"/>
          <w:szCs w:val="28"/>
          <w:u w:val="single"/>
          <w:lang w:val="en-US" w:eastAsia="zh-CN" w:bidi="ar-SA"/>
        </w:rPr>
      </w:pPr>
      <w:r>
        <w:rPr>
          <w:rFonts w:hint="eastAsia" w:ascii="仿宋" w:hAnsi="仿宋" w:eastAsia="仿宋" w:cs="仿宋"/>
          <w:b/>
          <w:bCs/>
          <w:kern w:val="2"/>
          <w:sz w:val="28"/>
          <w:szCs w:val="28"/>
          <w:u w:val="single"/>
          <w:lang w:val="en-US" w:eastAsia="zh-CN" w:bidi="ar-SA"/>
        </w:rPr>
        <w:t>提高秸秆综合利用率。</w:t>
      </w:r>
      <w:r>
        <w:rPr>
          <w:rFonts w:hint="eastAsia" w:ascii="仿宋" w:hAnsi="仿宋" w:eastAsia="仿宋" w:cs="仿宋"/>
          <w:b w:val="0"/>
          <w:bCs w:val="0"/>
          <w:kern w:val="2"/>
          <w:sz w:val="28"/>
          <w:szCs w:val="28"/>
          <w:u w:val="single"/>
          <w:lang w:val="en-US" w:eastAsia="zh-CN" w:bidi="ar-SA"/>
        </w:rPr>
        <w:t>加强秸秆肥料化、能源化、原料化、饲料化、基料化等利用工作，禁止秸秆露天焚烧。</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val="0"/>
          <w:bCs w:val="0"/>
          <w:kern w:val="2"/>
          <w:sz w:val="28"/>
          <w:szCs w:val="28"/>
          <w:u w:val="single"/>
          <w:lang w:val="en-US" w:eastAsia="zh-CN" w:bidi="ar-SA"/>
        </w:rPr>
      </w:pPr>
      <w:r>
        <w:rPr>
          <w:rFonts w:hint="eastAsia" w:ascii="仿宋" w:hAnsi="仿宋" w:eastAsia="仿宋" w:cs="仿宋"/>
          <w:b/>
          <w:bCs/>
          <w:kern w:val="2"/>
          <w:sz w:val="28"/>
          <w:szCs w:val="28"/>
          <w:u w:val="single"/>
          <w:lang w:val="en-US" w:eastAsia="zh-CN" w:bidi="ar-SA"/>
        </w:rPr>
        <w:t>严格控制交通污染排放。</w:t>
      </w:r>
      <w:r>
        <w:rPr>
          <w:rFonts w:hint="eastAsia" w:ascii="仿宋" w:hAnsi="仿宋" w:eastAsia="仿宋" w:cs="仿宋"/>
          <w:b w:val="0"/>
          <w:bCs w:val="0"/>
          <w:kern w:val="2"/>
          <w:sz w:val="28"/>
          <w:szCs w:val="28"/>
          <w:u w:val="single"/>
          <w:lang w:val="en-US" w:eastAsia="zh-CN" w:bidi="ar-SA"/>
        </w:rPr>
        <w:t>应加强村域内交通设施的管理，做好交通道路与居住区之间的绿化隔离带，树种宜用大叶黄杨、皂荚、夹竹桃、樟树等具有抗性和吸收有害气体能力的防污树种，以减轻汽车尾气带来的污染。</w:t>
      </w:r>
    </w:p>
    <w:p>
      <w:pPr>
        <w:pStyle w:val="2"/>
        <w:rPr>
          <w:rFonts w:hint="eastAsia" w:ascii="仿宋" w:hAnsi="仿宋" w:eastAsia="仿宋" w:cs="仿宋"/>
          <w:b w:val="0"/>
          <w:bCs w:val="0"/>
          <w:kern w:val="2"/>
          <w:sz w:val="28"/>
          <w:szCs w:val="28"/>
          <w:u w:val="single"/>
          <w:lang w:val="en-US" w:eastAsia="zh-CN" w:bidi="ar-SA"/>
        </w:rPr>
      </w:pPr>
      <w:r>
        <w:rPr>
          <w:rFonts w:hint="eastAsia" w:ascii="仿宋" w:hAnsi="仿宋" w:eastAsia="仿宋" w:cs="仿宋"/>
          <w:b/>
          <w:bCs/>
          <w:kern w:val="2"/>
          <w:sz w:val="28"/>
          <w:szCs w:val="28"/>
          <w:u w:val="single"/>
          <w:lang w:val="en-US" w:eastAsia="zh-CN" w:bidi="ar-SA"/>
        </w:rPr>
        <w:t>油烟污染控制。</w:t>
      </w:r>
      <w:r>
        <w:rPr>
          <w:rFonts w:hint="eastAsia" w:ascii="仿宋" w:hAnsi="仿宋" w:eastAsia="仿宋" w:cs="仿宋"/>
          <w:b w:val="0"/>
          <w:bCs w:val="0"/>
          <w:kern w:val="2"/>
          <w:sz w:val="28"/>
          <w:szCs w:val="28"/>
          <w:u w:val="single"/>
          <w:lang w:val="en-US" w:eastAsia="zh-CN" w:bidi="ar-SA"/>
        </w:rPr>
        <w:t>鼓励使用清洁能源，对未落实油烟防治措施和不符合能源使用要求的村户进行劝导、教育。</w:t>
      </w:r>
    </w:p>
    <w:p>
      <w:pPr>
        <w:pStyle w:val="2"/>
        <w:rPr>
          <w:rFonts w:hint="eastAsia" w:ascii="仿宋" w:hAnsi="仿宋" w:eastAsia="仿宋" w:cs="仿宋"/>
          <w:b w:val="0"/>
          <w:bCs w:val="0"/>
          <w:kern w:val="2"/>
          <w:sz w:val="28"/>
          <w:szCs w:val="28"/>
          <w:u w:val="single"/>
          <w:lang w:val="en-US" w:eastAsia="zh-CN" w:bidi="ar-SA"/>
        </w:rPr>
      </w:pPr>
      <w:r>
        <w:rPr>
          <w:rFonts w:hint="eastAsia" w:ascii="仿宋" w:hAnsi="仿宋" w:eastAsia="仿宋" w:cs="仿宋"/>
          <w:b/>
          <w:bCs/>
          <w:kern w:val="2"/>
          <w:sz w:val="28"/>
          <w:szCs w:val="28"/>
          <w:u w:val="single"/>
          <w:lang w:val="en-US" w:eastAsia="zh-CN" w:bidi="ar-SA"/>
        </w:rPr>
        <w:t>强化村域减排。</w:t>
      </w:r>
      <w:r>
        <w:rPr>
          <w:rFonts w:hint="eastAsia" w:ascii="仿宋" w:hAnsi="仿宋" w:eastAsia="仿宋" w:cs="仿宋"/>
          <w:b w:val="0"/>
          <w:bCs w:val="0"/>
          <w:kern w:val="2"/>
          <w:sz w:val="28"/>
          <w:szCs w:val="28"/>
          <w:u w:val="single"/>
          <w:lang w:val="en-US" w:eastAsia="zh-CN" w:bidi="ar-SA"/>
        </w:rPr>
        <w:t>加强农村地区清洁能源的推广普及工作，改善村域能源结构，减少生活燃煤造成的大气污染物排放量，到 2022年，村庄居民生活能源中清洁能源普及率达到82%以上。推广农村沼气工程、太阳能工程；农村燃料积极推广使用清洁能源。</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2"/>
        <w:rPr>
          <w:rFonts w:hint="eastAsia" w:ascii="仿宋" w:hAnsi="仿宋" w:eastAsia="仿宋" w:cs="仿宋"/>
          <w:b/>
          <w:bCs/>
          <w:sz w:val="28"/>
          <w:szCs w:val="28"/>
          <w:u w:val="single"/>
          <w:lang w:val="en-US" w:eastAsia="zh-CN"/>
        </w:rPr>
      </w:pPr>
      <w:bookmarkStart w:id="69" w:name="_Toc442"/>
      <w:bookmarkStart w:id="70" w:name="_Toc16218"/>
      <w:r>
        <w:rPr>
          <w:rFonts w:hint="eastAsia" w:ascii="仿宋" w:hAnsi="仿宋" w:eastAsia="仿宋" w:cs="仿宋"/>
          <w:b/>
          <w:bCs/>
          <w:sz w:val="28"/>
          <w:szCs w:val="28"/>
          <w:u w:val="single"/>
          <w:lang w:val="en-US" w:eastAsia="zh-CN"/>
        </w:rPr>
        <w:t>4.3.3 声环境污染防治</w:t>
      </w:r>
      <w:bookmarkEnd w:id="69"/>
      <w:bookmarkEnd w:id="70"/>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kern w:val="2"/>
          <w:sz w:val="28"/>
          <w:szCs w:val="28"/>
          <w:u w:val="single"/>
          <w:lang w:val="en-US" w:eastAsia="zh-CN" w:bidi="ar-SA"/>
        </w:rPr>
      </w:pPr>
      <w:r>
        <w:rPr>
          <w:rFonts w:hint="eastAsia" w:ascii="仿宋" w:hAnsi="仿宋" w:eastAsia="仿宋" w:cs="仿宋"/>
          <w:b w:val="0"/>
          <w:bCs w:val="0"/>
          <w:kern w:val="2"/>
          <w:sz w:val="28"/>
          <w:szCs w:val="28"/>
          <w:u w:val="single"/>
          <w:lang w:val="en-US" w:eastAsia="zh-CN" w:bidi="ar-SA"/>
        </w:rPr>
        <w:t>科学规划道路建设，注意道路路面的设计和保养，做好道路两侧的绿化工作，注意道路交通噪声对附近居住区的影响；合理选择交通运输方式，在噪声敏感区域限制车流量和车速，禁止鸣喇叭。</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2"/>
        <w:rPr>
          <w:rFonts w:hint="eastAsia" w:ascii="仿宋" w:hAnsi="仿宋" w:eastAsia="仿宋" w:cs="仿宋"/>
          <w:b/>
          <w:bCs/>
          <w:sz w:val="28"/>
          <w:szCs w:val="28"/>
          <w:u w:val="single"/>
          <w:lang w:val="en-US" w:eastAsia="zh-CN"/>
        </w:rPr>
      </w:pPr>
      <w:bookmarkStart w:id="71" w:name="_Toc7450"/>
      <w:bookmarkStart w:id="72" w:name="_Toc26736"/>
      <w:r>
        <w:rPr>
          <w:rFonts w:hint="eastAsia" w:ascii="仿宋" w:hAnsi="仿宋" w:eastAsia="仿宋" w:cs="仿宋"/>
          <w:b/>
          <w:bCs/>
          <w:sz w:val="28"/>
          <w:szCs w:val="28"/>
          <w:u w:val="single"/>
          <w:lang w:val="en-US" w:eastAsia="zh-CN"/>
        </w:rPr>
        <w:t>4.3.4 土壤环境污染防治</w:t>
      </w:r>
      <w:bookmarkEnd w:id="71"/>
      <w:bookmarkEnd w:id="72"/>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b w:val="0"/>
          <w:bCs w:val="0"/>
          <w:kern w:val="2"/>
          <w:sz w:val="28"/>
          <w:szCs w:val="28"/>
          <w:u w:val="single"/>
          <w:lang w:val="en-US" w:eastAsia="zh-CN" w:bidi="ar-SA"/>
        </w:rPr>
      </w:pPr>
      <w:r>
        <w:rPr>
          <w:rFonts w:hint="eastAsia" w:ascii="仿宋" w:hAnsi="仿宋" w:eastAsia="仿宋" w:cs="仿宋"/>
          <w:b w:val="0"/>
          <w:bCs w:val="0"/>
          <w:kern w:val="2"/>
          <w:sz w:val="28"/>
          <w:szCs w:val="28"/>
          <w:u w:val="single"/>
          <w:lang w:val="en-US" w:eastAsia="zh-CN" w:bidi="ar-SA"/>
        </w:rPr>
        <w:t>加强农业面源污染治理。严格保护现有农田耕地，展现自然的农田风光，降低农用化肥施用强度，到 2021年年底，农用化肥施用强度小于300千克/公顷。同时，优先采用生态控制、物理防治等措施，推广应用生物农药、高效低毒低残留农药，严格控制剧毒、高毒农药使用，并降低农药施用强度，到 2021年年底，农药施用强度小于3.5千克/公顷。加大测土配方施肥、平衡施肥技术推广力度，重点推广秸秆养畜、秸秆还田或建成秸秆气化装置，到 2021年年底，农作物秸秆综合利用率提高到95%以上；提高农膜回收率，</w:t>
      </w:r>
      <w:r>
        <w:rPr>
          <w:rFonts w:hint="eastAsia" w:ascii="仿宋" w:hAnsi="仿宋" w:eastAsia="仿宋" w:cs="仿宋"/>
          <w:b w:val="0"/>
          <w:bCs w:val="0"/>
          <w:kern w:val="2"/>
          <w:sz w:val="28"/>
          <w:szCs w:val="28"/>
          <w:u w:val="single"/>
          <w:lang w:val="zh-CN" w:eastAsia="zh-CN" w:bidi="ar-SA"/>
        </w:rPr>
        <w:t>以宣传教育为先导,以强化管理为核心,以回收利用为主要手段,以替代产品为补充措施的原则,积极防治</w:t>
      </w:r>
      <w:r>
        <w:rPr>
          <w:rFonts w:hint="eastAsia" w:ascii="仿宋" w:hAnsi="仿宋" w:eastAsia="仿宋" w:cs="仿宋"/>
          <w:b w:val="0"/>
          <w:bCs w:val="0"/>
          <w:kern w:val="2"/>
          <w:sz w:val="28"/>
          <w:szCs w:val="28"/>
          <w:u w:val="single"/>
          <w:lang w:val="en-US" w:eastAsia="zh-CN" w:bidi="ar-SA"/>
        </w:rPr>
        <w:t>农膜</w:t>
      </w:r>
      <w:r>
        <w:rPr>
          <w:rFonts w:hint="eastAsia" w:ascii="仿宋" w:hAnsi="仿宋" w:eastAsia="仿宋" w:cs="仿宋"/>
          <w:b w:val="0"/>
          <w:bCs w:val="0"/>
          <w:kern w:val="2"/>
          <w:sz w:val="28"/>
          <w:szCs w:val="28"/>
          <w:u w:val="single"/>
          <w:lang w:val="zh-CN" w:eastAsia="zh-CN" w:bidi="ar-SA"/>
        </w:rPr>
        <w:t>污染,主要通过清理和回收利用来减少污染,并依靠有利于回收利用的经济政策提高回收利用率，</w:t>
      </w:r>
      <w:r>
        <w:rPr>
          <w:rFonts w:hint="eastAsia" w:ascii="仿宋" w:hAnsi="仿宋" w:eastAsia="仿宋" w:cs="仿宋"/>
          <w:b w:val="0"/>
          <w:bCs w:val="0"/>
          <w:kern w:val="2"/>
          <w:sz w:val="28"/>
          <w:szCs w:val="28"/>
          <w:u w:val="single"/>
          <w:lang w:val="en-US" w:eastAsia="zh-CN" w:bidi="ar-SA"/>
        </w:rPr>
        <w:t>规划到2021年年底，农膜回收率提高到90%以上；畜粪尿还田，或将畜禽粪便堆置制成复合肥料、配合饲料，到 2022年，畜禽粪污综合利用率提高到85%以上。</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2"/>
        <w:rPr>
          <w:rFonts w:hint="eastAsia" w:ascii="仿宋" w:hAnsi="仿宋" w:eastAsia="仿宋" w:cs="仿宋"/>
          <w:b/>
          <w:bCs/>
          <w:sz w:val="28"/>
          <w:szCs w:val="28"/>
          <w:u w:val="single"/>
          <w:lang w:val="en-US" w:eastAsia="zh-CN"/>
        </w:rPr>
      </w:pPr>
      <w:bookmarkStart w:id="73" w:name="_Toc16593"/>
      <w:bookmarkStart w:id="74" w:name="_Toc14639"/>
      <w:r>
        <w:rPr>
          <w:rFonts w:hint="eastAsia" w:ascii="仿宋" w:hAnsi="仿宋" w:eastAsia="仿宋" w:cs="仿宋"/>
          <w:b/>
          <w:bCs/>
          <w:sz w:val="28"/>
          <w:szCs w:val="28"/>
          <w:u w:val="single"/>
          <w:lang w:val="en-US" w:eastAsia="zh-CN"/>
        </w:rPr>
        <w:t>4.3.5 固体废物综合治理</w:t>
      </w:r>
      <w:bookmarkEnd w:id="73"/>
      <w:bookmarkEnd w:id="74"/>
    </w:p>
    <w:p>
      <w:pPr>
        <w:pStyle w:val="25"/>
        <w:keepNext w:val="0"/>
        <w:keepLines w:val="0"/>
        <w:pageBreakBefore w:val="0"/>
        <w:widowControl w:val="0"/>
        <w:kinsoku/>
        <w:wordWrap/>
        <w:overflowPunct/>
        <w:topLinePunct w:val="0"/>
        <w:autoSpaceDE/>
        <w:autoSpaceDN/>
        <w:bidi w:val="0"/>
        <w:adjustRightInd/>
        <w:snapToGrid/>
        <w:spacing w:line="240" w:lineRule="auto"/>
        <w:ind w:left="0" w:right="0" w:firstLine="560" w:firstLineChars="200"/>
        <w:jc w:val="left"/>
        <w:textAlignment w:val="auto"/>
        <w:rPr>
          <w:rFonts w:hint="default" w:ascii="仿宋" w:hAnsi="仿宋" w:eastAsia="仿宋" w:cs="仿宋"/>
          <w:b w:val="0"/>
          <w:bCs w:val="0"/>
          <w:kern w:val="2"/>
          <w:sz w:val="28"/>
          <w:szCs w:val="28"/>
          <w:u w:val="single"/>
          <w:lang w:val="en-US" w:eastAsia="zh-CN" w:bidi="ar-SA"/>
        </w:rPr>
      </w:pPr>
      <w:r>
        <w:rPr>
          <w:rFonts w:hint="eastAsia" w:ascii="仿宋" w:hAnsi="仿宋" w:eastAsia="仿宋" w:cs="仿宋"/>
          <w:b w:val="0"/>
          <w:bCs w:val="0"/>
          <w:kern w:val="2"/>
          <w:sz w:val="28"/>
          <w:szCs w:val="28"/>
          <w:u w:val="single"/>
          <w:lang w:val="en-US" w:eastAsia="zh-CN" w:bidi="ar-SA"/>
        </w:rPr>
        <w:t>实行垃圾分类制度，陈家桥村垃圾收集须首先经过每户的垃圾分类，将垃圾分为有机垃圾（菜叶、骨头等）、可回收垃圾（金属、塑料、废纸、玻璃、布等）、不可回收垃圾（瓷片等）。有机垃圾通过堆肥处理后做农家肥用；可回收垃圾作废品回收处理；不可回收垃圾通过垃圾收集点收集。规划按照垃圾分类的要求新增一处垃圾收集点分布在公共活动坪附近。生活垃圾经垃圾收集点收集后由专职保洁队伍定时、定点负责对垃圾进行收集与清运。到 2021年年底，开展生活垃圾分类收集的户数进一步提高。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kern w:val="2"/>
          <w:sz w:val="28"/>
          <w:szCs w:val="28"/>
          <w:u w:val="single"/>
          <w:lang w:val="en-US" w:eastAsia="zh-CN" w:bidi="ar-SA"/>
        </w:rPr>
      </w:pPr>
      <w:r>
        <w:rPr>
          <w:rFonts w:hint="eastAsia" w:ascii="仿宋" w:hAnsi="仿宋" w:eastAsia="仿宋" w:cs="仿宋"/>
          <w:b w:val="0"/>
          <w:bCs w:val="0"/>
          <w:kern w:val="2"/>
          <w:sz w:val="28"/>
          <w:szCs w:val="28"/>
          <w:u w:val="single"/>
          <w:lang w:val="en-US" w:eastAsia="zh-CN" w:bidi="ar-SA"/>
        </w:rPr>
        <w:t>推进生活垃圾实现资源化、无害化和减量化处置。进一步加强垃圾回收网络体系建设，完善无害化处理处置系统。严格控制固体废物污染，医疗垃圾等固体危险废弃物必须单独收集、单独运输、单独处理。加强对现有垃圾收集站、垃圾运输车的提质改造。到 2022年，生活垃圾无害化处理率提高到95%以上。</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2"/>
        <w:rPr>
          <w:rFonts w:hint="eastAsia" w:ascii="仿宋" w:hAnsi="仿宋" w:eastAsia="仿宋" w:cs="仿宋"/>
          <w:b/>
          <w:bCs/>
          <w:sz w:val="28"/>
          <w:szCs w:val="28"/>
          <w:u w:val="single"/>
          <w:lang w:val="en-US" w:eastAsia="zh-CN"/>
        </w:rPr>
      </w:pPr>
      <w:bookmarkStart w:id="75" w:name="_Toc25443"/>
      <w:bookmarkStart w:id="76" w:name="_Toc11410"/>
      <w:r>
        <w:rPr>
          <w:rFonts w:hint="eastAsia" w:ascii="仿宋" w:hAnsi="仿宋" w:eastAsia="仿宋" w:cs="仿宋"/>
          <w:b/>
          <w:bCs/>
          <w:sz w:val="28"/>
          <w:szCs w:val="28"/>
          <w:u w:val="single"/>
          <w:lang w:val="en-US" w:eastAsia="zh-CN"/>
        </w:rPr>
        <w:t>4.3.6 加强生态环境防护</w:t>
      </w:r>
      <w:bookmarkEnd w:id="75"/>
      <w:bookmarkEnd w:id="76"/>
    </w:p>
    <w:p>
      <w:pPr>
        <w:pStyle w:val="2"/>
        <w:rPr>
          <w:rFonts w:hint="default" w:ascii="仿宋" w:hAnsi="仿宋" w:eastAsia="仿宋" w:cs="仿宋"/>
          <w:b w:val="0"/>
          <w:bCs w:val="0"/>
          <w:kern w:val="2"/>
          <w:sz w:val="28"/>
          <w:szCs w:val="28"/>
          <w:u w:val="single"/>
          <w:lang w:val="en-US" w:eastAsia="zh-CN" w:bidi="ar-SA"/>
        </w:rPr>
      </w:pPr>
      <w:r>
        <w:rPr>
          <w:rFonts w:hint="eastAsia" w:ascii="仿宋" w:hAnsi="仿宋" w:eastAsia="仿宋" w:cs="仿宋"/>
          <w:b w:val="0"/>
          <w:bCs w:val="0"/>
          <w:kern w:val="2"/>
          <w:sz w:val="28"/>
          <w:szCs w:val="28"/>
          <w:u w:val="single"/>
          <w:lang w:val="en-US" w:eastAsia="zh-CN" w:bidi="ar-SA"/>
        </w:rPr>
        <w:t>维持动植物资源的多样性，禁止任何破坏森林的活动，禁止建设任何人工建筑和永久性设施。建立健全防火系统，严格执行防火和防病虫害措施，保障森林免于火灾和虫灾。禁止任何对水库、池塘、河流水体有污染的旅游与生产、饲养等人工活动。加强道路防护绿化、河流水域的防护绿带的建设。要充分利用现状的自然条件，水体绿化、道路绿化相结合，建立大环境生态系统。绿地系统“点—线—面”相结合，构成多层次、多功能相结合的乡村绿化体系。提高林草覆盖率，结合宅旁绿化打造，以农村常见的蔬菜瓜果、果树花木种植为主，利用周围菜地发展水果、蔬菜、花卉、苗木等种植业，规划到2023年，林草覆盖率达到65%以上。</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仿宋" w:hAnsi="仿宋" w:eastAsia="仿宋" w:cs="仿宋"/>
          <w:b/>
          <w:bCs/>
          <w:sz w:val="28"/>
          <w:szCs w:val="28"/>
          <w:u w:val="single"/>
          <w:lang w:val="en-US" w:eastAsia="zh-CN"/>
        </w:rPr>
      </w:pPr>
      <w:bookmarkStart w:id="77" w:name="_Toc3957"/>
      <w:bookmarkStart w:id="78" w:name="_Toc31570"/>
      <w:bookmarkStart w:id="79" w:name="_Toc20001"/>
      <w:r>
        <w:rPr>
          <w:rFonts w:hint="eastAsia" w:ascii="仿宋" w:hAnsi="仿宋" w:eastAsia="仿宋" w:cs="仿宋"/>
          <w:b/>
          <w:bCs/>
          <w:sz w:val="28"/>
          <w:szCs w:val="28"/>
          <w:u w:val="single"/>
          <w:lang w:val="en-US" w:eastAsia="zh-CN"/>
        </w:rPr>
        <w:t>4.4 完善生态文化制度</w:t>
      </w:r>
      <w:bookmarkEnd w:id="77"/>
      <w:bookmarkEnd w:id="78"/>
      <w:bookmarkEnd w:id="79"/>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9"/>
        <w:rPr>
          <w:rFonts w:hint="default" w:ascii="仿宋" w:hAnsi="仿宋" w:eastAsia="仿宋" w:cs="仿宋"/>
          <w:b w:val="0"/>
          <w:bCs w:val="0"/>
          <w:kern w:val="2"/>
          <w:sz w:val="28"/>
          <w:szCs w:val="28"/>
          <w:u w:val="single"/>
          <w:lang w:val="en-US" w:eastAsia="zh-CN" w:bidi="ar-SA"/>
        </w:rPr>
      </w:pPr>
      <w:r>
        <w:rPr>
          <w:rFonts w:hint="eastAsia" w:ascii="仿宋" w:hAnsi="仿宋" w:eastAsia="仿宋" w:cs="仿宋"/>
          <w:b w:val="0"/>
          <w:bCs w:val="0"/>
          <w:kern w:val="2"/>
          <w:sz w:val="28"/>
          <w:szCs w:val="28"/>
          <w:u w:val="single"/>
          <w:lang w:val="en-US" w:eastAsia="zh-CN" w:bidi="ar-SA"/>
        </w:rPr>
        <w:t>坚持营造绿色文化，大力宣传生态文明观念，使全村树立起建设生态村的共同理想和信念。加强村民生态环境教育，提高村民整体素质，树立先进的生态文化理念。倡导绿色生活方式，将生态文明的行为规范纳入村民道德规范创建活动之中，使人民群众把生态建设作为他们的自觉行动。逐步引导消费者转变消费观念，坚持享受适度，反对奢侈浪费，提倡节俭，注重环保，坚持“量入为出”的个人标准和“资源许可”的社会标准；提倡良好、文明的卫生习惯，惩罚破坏生态环境的行为；禁止捕猎、买卖、食用野生动物，保护珍稀植物，维护生物多样性和自然生态平衡；提倡绿色消费时尚，减少一次性消费用品的数量；积极推广环境标志产品和绿色产品，严格执行国家关于限制过度包装的强制性标准，鼓励使用环保包装材料，促进包装材料的回收利用。推广使用无磷洗衣粉、无汞电池等对环境污染小的环境产品。在消费过程中注重对废弃物的处置，尽量避免造成环境污染。推行生活垃圾分类袋装化，不乱丢垃圾、控制“白色”污染。弘扬勤俭节约的优良传统，深入宣传节约光荣、浪费可耻的理念，引导机关及广大群众从生活的点滴做起，争做低碳环保生活的倡导者和践行者。规划到2021年年底，遵守节约资源和保护环境村（社区）规民约的农（居）户达到100%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9"/>
        <w:rPr>
          <w:rFonts w:hint="eastAsia" w:ascii="仿宋" w:hAnsi="仿宋" w:eastAsia="仿宋" w:cs="仿宋"/>
          <w:b w:val="0"/>
          <w:bCs w:val="0"/>
          <w:kern w:val="2"/>
          <w:sz w:val="28"/>
          <w:szCs w:val="28"/>
          <w:u w:val="single"/>
          <w:lang w:val="en-US" w:eastAsia="zh-CN" w:bidi="ar-SA"/>
        </w:rPr>
      </w:pPr>
      <w:r>
        <w:rPr>
          <w:rFonts w:hint="eastAsia" w:ascii="仿宋" w:hAnsi="仿宋" w:eastAsia="仿宋" w:cs="仿宋"/>
          <w:b w:val="0"/>
          <w:bCs w:val="0"/>
          <w:kern w:val="2"/>
          <w:sz w:val="28"/>
          <w:szCs w:val="28"/>
          <w:u w:val="single"/>
          <w:lang w:val="en-US" w:eastAsia="zh-CN" w:bidi="ar-SA"/>
        </w:rPr>
        <w:t>充分利用电视、广播、报刊、网络等大众媒体，以及环保政务微博、社交网络、手机短信平台等新媒体，不断创新生态文明宣传教育形式。综合运用系列报道、新闻特写、纪实短片等多种报道形式，加强对社会普遍关注的生态环境热点问题的舆论引导。“全民参与环保，共创美好家园” 等宣传标语倡议可持续发展的生态文明理念，利用每年“3.22”世界水日、“4.22”世界地球日、“6.5”世界环境日、“9.16”国际臭氧层保护日、科普宣传周等环保纪念日，在群众中开展生态环境宣传、主题文化表演、派发宣传材料等活动，提高生态环境意识，提高群众参与生态文明建设示范村创建的自觉性和积极性，营造生态文明氛围。</w:t>
      </w:r>
    </w:p>
    <w:p>
      <w:pPr>
        <w:pStyle w:val="2"/>
        <w:rPr>
          <w:rFonts w:hint="eastAsia"/>
          <w:sz w:val="28"/>
          <w:szCs w:val="28"/>
          <w:u w:val="single"/>
          <w:lang w:val="en-US" w:eastAsia="zh-CN"/>
        </w:rPr>
      </w:pPr>
      <w:r>
        <w:rPr>
          <w:rFonts w:hint="eastAsia"/>
          <w:sz w:val="28"/>
          <w:szCs w:val="28"/>
          <w:u w:val="single"/>
          <w:lang w:val="en-US" w:eastAsia="zh-CN"/>
        </w:rPr>
        <w:t>坚持生态环境建设与发展经济、提高人民生活水平有机结合，深入开展党政机关、学校、社区、农村生态文明教育。积极开展党政机关生态文明教育。将生态文明教育纳入各级党校、行政学院教学计划和党政干部培训体系中，对各级领导干部进行系统性的生态文明教育。党政领导干部参加生态文明培训的人数比例应达到 100%，公务员任职培训也应当安排生态文明理念、知识、环保法律法规等方面的教育内容。</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textAlignment w:val="auto"/>
        <w:outlineLvl w:val="0"/>
        <w:rPr>
          <w:rFonts w:hint="eastAsia" w:ascii="仿宋" w:hAnsi="仿宋" w:eastAsia="仿宋" w:cs="仿宋"/>
          <w:b/>
          <w:bCs/>
          <w:sz w:val="32"/>
          <w:szCs w:val="32"/>
          <w:lang w:val="en-US" w:eastAsia="zh-CN"/>
        </w:rPr>
      </w:pPr>
      <w:bookmarkStart w:id="80" w:name="_Toc18169"/>
      <w:bookmarkStart w:id="81" w:name="_Toc30236"/>
      <w:bookmarkStart w:id="82" w:name="_Toc25541"/>
      <w:r>
        <w:rPr>
          <w:rFonts w:hint="eastAsia" w:ascii="仿宋" w:hAnsi="仿宋" w:eastAsia="仿宋" w:cs="仿宋"/>
          <w:b/>
          <w:bCs/>
          <w:sz w:val="32"/>
          <w:szCs w:val="32"/>
          <w:lang w:val="en-US" w:eastAsia="zh-CN"/>
        </w:rPr>
        <w:t>5 重点项目</w:t>
      </w:r>
      <w:bookmarkEnd w:id="80"/>
      <w:bookmarkEnd w:id="81"/>
      <w:bookmarkEnd w:id="82"/>
      <w:r>
        <w:rPr>
          <w:rFonts w:hint="eastAsia" w:ascii="仿宋" w:hAnsi="仿宋" w:eastAsia="仿宋" w:cs="仿宋"/>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val="0"/>
          <w:bCs w:val="0"/>
          <w:sz w:val="28"/>
          <w:szCs w:val="28"/>
          <w:lang w:val="en-US" w:eastAsia="zh-CN"/>
        </w:rPr>
        <w:t>本规划设置重点工程项目 6 项，总投资约 3630万元。各项目具体建设内容及项目投资情况见附表 1。</w:t>
      </w:r>
      <w:r>
        <w:rPr>
          <w:rFonts w:hint="eastAsia" w:ascii="仿宋" w:hAnsi="仿宋" w:eastAsia="仿宋" w:cs="仿宋"/>
          <w:b/>
          <w:bCs/>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textAlignment w:val="auto"/>
        <w:outlineLvl w:val="0"/>
        <w:rPr>
          <w:rFonts w:hint="eastAsia" w:ascii="仿宋" w:hAnsi="仿宋" w:eastAsia="仿宋" w:cs="仿宋"/>
          <w:b/>
          <w:bCs/>
          <w:sz w:val="32"/>
          <w:szCs w:val="32"/>
          <w:lang w:val="en-US" w:eastAsia="zh-CN"/>
        </w:rPr>
      </w:pPr>
      <w:bookmarkStart w:id="83" w:name="_Toc14081"/>
      <w:bookmarkStart w:id="84" w:name="_Toc11121"/>
      <w:bookmarkStart w:id="85" w:name="_Toc12926"/>
      <w:r>
        <w:rPr>
          <w:rFonts w:hint="eastAsia" w:ascii="仿宋" w:hAnsi="仿宋" w:eastAsia="仿宋" w:cs="仿宋"/>
          <w:b/>
          <w:bCs/>
          <w:sz w:val="32"/>
          <w:szCs w:val="32"/>
          <w:lang w:val="en-US" w:eastAsia="zh-CN"/>
        </w:rPr>
        <w:t>6 效益分析</w:t>
      </w:r>
      <w:bookmarkEnd w:id="83"/>
      <w:bookmarkEnd w:id="84"/>
      <w:bookmarkEnd w:id="85"/>
      <w:r>
        <w:rPr>
          <w:rFonts w:hint="eastAsia" w:ascii="仿宋" w:hAnsi="仿宋" w:eastAsia="仿宋" w:cs="仿宋"/>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bookmarkStart w:id="86" w:name="_Toc24821"/>
      <w:bookmarkStart w:id="87" w:name="_Toc25078"/>
      <w:bookmarkStart w:id="88" w:name="_Toc23570"/>
      <w:r>
        <w:rPr>
          <w:rFonts w:hint="eastAsia" w:ascii="仿宋" w:hAnsi="仿宋" w:eastAsia="仿宋" w:cs="仿宋"/>
          <w:b/>
          <w:bCs/>
          <w:sz w:val="28"/>
          <w:szCs w:val="28"/>
          <w:lang w:val="en-US" w:eastAsia="zh-CN"/>
        </w:rPr>
        <w:t>6.1 环境效益</w:t>
      </w:r>
      <w:bookmarkEnd w:id="86"/>
      <w:bookmarkEnd w:id="87"/>
      <w:bookmarkEnd w:id="88"/>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环保宣传活动与相关法规的完善，增强了群众的环境意识，改善了人居环境，提升了农村环境品质。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通过生态文明示范村建设，大力发展生态农业，控制农业污染和生活面源污染，改善与提高农村的生产与生活环境质量，经济与社会实现可持续发展，把陈家桥村建设成为一个生态文明建设示范村。</w:t>
      </w:r>
    </w:p>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bookmarkStart w:id="89" w:name="_Toc3829"/>
      <w:bookmarkStart w:id="90" w:name="_Toc9514"/>
      <w:bookmarkStart w:id="91" w:name="_Toc31644"/>
      <w:r>
        <w:rPr>
          <w:rFonts w:hint="eastAsia" w:ascii="仿宋" w:hAnsi="仿宋" w:eastAsia="仿宋" w:cs="仿宋"/>
          <w:b/>
          <w:bCs/>
          <w:sz w:val="28"/>
          <w:szCs w:val="28"/>
          <w:lang w:val="en-US" w:eastAsia="zh-CN"/>
        </w:rPr>
        <w:t>6.2 经济效益</w:t>
      </w:r>
      <w:bookmarkEnd w:id="89"/>
      <w:bookmarkEnd w:id="90"/>
      <w:bookmarkEnd w:id="91"/>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特色生态农业的发展，兼顾了环境保护和资源节约，极大地促进了村经济发展，为农民增收致富。因生态农业及其衍生的生态旅游给农民提供的更多致富商机，让村民生活更富裕。生态旅游资源整合的同时，一定程度上节约了政府的建设和管理支出。主导型产业的发展，是带动村庄经济快速增长的一大良策，同时可以打造出品牌效应，形成品牌优势。</w:t>
      </w:r>
    </w:p>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bookmarkStart w:id="92" w:name="_Toc1747"/>
      <w:bookmarkStart w:id="93" w:name="_Toc12197"/>
      <w:bookmarkStart w:id="94" w:name="_Toc21736"/>
      <w:r>
        <w:rPr>
          <w:rFonts w:hint="eastAsia" w:ascii="仿宋" w:hAnsi="仿宋" w:eastAsia="仿宋" w:cs="仿宋"/>
          <w:b/>
          <w:bCs/>
          <w:sz w:val="28"/>
          <w:szCs w:val="28"/>
          <w:lang w:val="en-US" w:eastAsia="zh-CN"/>
        </w:rPr>
        <w:t>6.3 社会效益</w:t>
      </w:r>
      <w:bookmarkEnd w:id="92"/>
      <w:bookmarkEnd w:id="93"/>
      <w:bookmarkEnd w:id="94"/>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val="0"/>
          <w:bCs w:val="0"/>
          <w:sz w:val="28"/>
          <w:szCs w:val="28"/>
          <w:lang w:val="en-US" w:eastAsia="zh-CN"/>
        </w:rPr>
        <w:t>特色生态产业的推进，综合协调了生产资料、环境保护与经济发展，使得陈家桥村的人力、物力、财力得到更为合理的分配，能够大幅提高村委会的管理效能和效率。对农村种植用地、农村生态游的规划，能够大幅度提升村的整齐度和观赏性。一系列特色生态产业的实施，都将极大地刺激本地雇佣市场，为当地提供更多的就业机会和创业机遇。</w:t>
      </w:r>
      <w:r>
        <w:rPr>
          <w:rFonts w:hint="eastAsia" w:ascii="仿宋" w:hAnsi="仿宋" w:eastAsia="仿宋" w:cs="仿宋"/>
          <w:b/>
          <w:bCs/>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textAlignment w:val="auto"/>
        <w:outlineLvl w:val="0"/>
        <w:rPr>
          <w:rFonts w:hint="default" w:ascii="仿宋" w:hAnsi="仿宋" w:eastAsia="仿宋" w:cs="仿宋"/>
          <w:b/>
          <w:bCs/>
          <w:sz w:val="32"/>
          <w:szCs w:val="32"/>
          <w:lang w:val="en-US" w:eastAsia="zh-CN"/>
        </w:rPr>
      </w:pPr>
      <w:bookmarkStart w:id="95" w:name="_Toc8296"/>
      <w:bookmarkStart w:id="96" w:name="_Toc31005"/>
      <w:bookmarkStart w:id="97" w:name="_Toc9627"/>
      <w:r>
        <w:rPr>
          <w:rFonts w:hint="eastAsia" w:ascii="仿宋" w:hAnsi="仿宋" w:eastAsia="仿宋" w:cs="仿宋"/>
          <w:b/>
          <w:bCs/>
          <w:sz w:val="32"/>
          <w:szCs w:val="32"/>
          <w:lang w:val="en-US" w:eastAsia="zh-CN"/>
        </w:rPr>
        <w:t>7 保障措施与建议</w:t>
      </w:r>
      <w:bookmarkEnd w:id="95"/>
      <w:bookmarkEnd w:id="96"/>
      <w:bookmarkEnd w:id="97"/>
    </w:p>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bookmarkStart w:id="98" w:name="_Toc31306"/>
      <w:bookmarkStart w:id="99" w:name="_Toc21035"/>
      <w:bookmarkStart w:id="100" w:name="_Toc29289"/>
      <w:bookmarkStart w:id="101" w:name="_Toc4911"/>
      <w:bookmarkStart w:id="102" w:name="_Toc5147"/>
      <w:bookmarkStart w:id="103" w:name="_Toc14899"/>
      <w:r>
        <w:rPr>
          <w:rFonts w:hint="eastAsia" w:ascii="仿宋" w:hAnsi="仿宋" w:eastAsia="仿宋" w:cs="仿宋"/>
          <w:b/>
          <w:bCs/>
          <w:sz w:val="28"/>
          <w:szCs w:val="28"/>
          <w:lang w:val="en-US" w:eastAsia="zh-CN"/>
        </w:rPr>
        <w:t>7.1 加强组织领导</w:t>
      </w:r>
      <w:bookmarkEnd w:id="98"/>
      <w:bookmarkEnd w:id="99"/>
      <w:bookmarkEnd w:id="100"/>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生态文明建设示范村创建是一项跨部门、跨行业的系统工程，涉及面广，任务繁重。组织机构与管理机制是生态文明建设示范村创建的关键。</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建立和完善规划实施的组织机构。</w:t>
      </w:r>
      <w:r>
        <w:rPr>
          <w:rFonts w:hint="eastAsia" w:ascii="仿宋" w:hAnsi="仿宋" w:eastAsia="仿宋" w:cs="仿宋"/>
          <w:b w:val="0"/>
          <w:bCs w:val="0"/>
          <w:sz w:val="28"/>
          <w:szCs w:val="28"/>
          <w:lang w:val="en-US" w:eastAsia="zh-CN"/>
        </w:rPr>
        <w:t>成立由村委会主要领导挂帅、各村委会干部主要领导参加的陈家桥村生态文明建设示范村创建领导小组和办公室，由村主要领导任组长，具体负责生态文明建设示范村创建工作的组织和实施。领导小组定期研究生态文明建设示范村创建中的重大问题，提出重大决策。领导小组办公室具体负责实施方案、年度计划的编制、实施以及各项创建工作的协调、监督和管理，并随着生态文明建设示范村创建的不断深入和新的要求，对规划进行适时修改、调整和补充完善。镇级人大负责审议、监督并提出建设性建议。</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健全规划实施的行政管理体系。</w:t>
      </w:r>
      <w:r>
        <w:rPr>
          <w:rFonts w:hint="eastAsia" w:ascii="仿宋" w:hAnsi="仿宋" w:eastAsia="仿宋" w:cs="仿宋"/>
          <w:b w:val="0"/>
          <w:bCs w:val="0"/>
          <w:sz w:val="28"/>
          <w:szCs w:val="28"/>
          <w:lang w:val="en-US" w:eastAsia="zh-CN"/>
        </w:rPr>
        <w:t>加强生态文明建设示范村创建的协调力度，有关部门按照各自的职责，相互协调，共同支持生态文明建设示范村创建，每一部门都要确定与生态文明建设示范村创建领导小组办公室直接联系的人员，以利于协调与交流，努力提高陈家桥村生态文明建设示范村创建管理水平和管理效率。</w:t>
      </w:r>
    </w:p>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7.2 强化目标考核</w:t>
      </w:r>
      <w:bookmarkEnd w:id="101"/>
      <w:bookmarkEnd w:id="102"/>
      <w:bookmarkEnd w:id="103"/>
    </w:p>
    <w:p>
      <w:pPr>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认真组织、逐级分解，以责任书的形式实施《宁乡市菁华铺乡陈家桥村生态文明建设示范村规划》，落实生态建设重点工程；各部门职责明确、分工协作的机制，做到责任、措施和资金“三到位”；树立正确的政绩观，实行领导干部和工作人员生态文明建设示范村创建年度实绩考核的制度，保障规划实施效果；随时根据生态建设形势的新变化，修正和完善考核目标，使生态文明建设示范村创建目标责任制考核更具科学性和可操作性。</w:t>
      </w:r>
    </w:p>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bookmarkStart w:id="104" w:name="_Toc18878"/>
      <w:bookmarkStart w:id="105" w:name="_Toc6713"/>
      <w:bookmarkStart w:id="106" w:name="_Toc6074"/>
      <w:r>
        <w:rPr>
          <w:rFonts w:hint="eastAsia" w:ascii="仿宋" w:hAnsi="仿宋" w:eastAsia="仿宋" w:cs="仿宋"/>
          <w:b/>
          <w:bCs/>
          <w:sz w:val="28"/>
          <w:szCs w:val="28"/>
          <w:lang w:val="en-US" w:eastAsia="zh-CN"/>
        </w:rPr>
        <w:t>7.3 完善资金机制</w:t>
      </w:r>
      <w:bookmarkEnd w:id="104"/>
      <w:bookmarkEnd w:id="105"/>
      <w:bookmarkEnd w:id="106"/>
    </w:p>
    <w:p>
      <w:pPr>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资金筹集是生态文明建设示范村创建项目得以落实的根本保证，村委会和各部门要积极争取省、长沙市、宁乡市、菁华铺乡政府和各相关职能部门的支持，尤其是市财政的支持，同时，积极吸引海内外资金，自筹资金，加快生态文明建设示范村创建的速度。</w:t>
      </w:r>
    </w:p>
    <w:p>
      <w:pPr>
        <w:ind w:firstLine="562" w:firstLineChars="200"/>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做好项目投资效益分析，合理安排资金投入。</w:t>
      </w:r>
      <w:r>
        <w:rPr>
          <w:rFonts w:hint="eastAsia" w:ascii="仿宋" w:hAnsi="仿宋" w:eastAsia="仿宋" w:cs="仿宋"/>
          <w:b w:val="0"/>
          <w:bCs w:val="0"/>
          <w:sz w:val="28"/>
          <w:szCs w:val="28"/>
          <w:lang w:val="en-US" w:eastAsia="zh-CN"/>
        </w:rPr>
        <w:t>做好生态文明建设示范村创建规划的项目投资效益分析是提高规划实施效益的重要方面，在投资资金有限的情况下，生态文明建设示范村创建规划的项目投资效益分析就显得尤为重要。规划的项目投资效益分析将为村委会有关部门的综合决策分析提供有力的支持，有助于相关部门按照投资效益分析的结果合理安排资金投入，做到生态文明建设示范村创建规划综合效益的最大化。严格投资问效、追踪管理，加强资金使用监督，建立有效的资金使用监管制度。</w:t>
      </w:r>
    </w:p>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bookmarkStart w:id="107" w:name="_Toc19060"/>
      <w:bookmarkStart w:id="108" w:name="_Toc17780"/>
      <w:bookmarkStart w:id="109" w:name="_Toc8260"/>
      <w:r>
        <w:rPr>
          <w:rFonts w:hint="eastAsia" w:ascii="仿宋" w:hAnsi="仿宋" w:eastAsia="仿宋" w:cs="仿宋"/>
          <w:b/>
          <w:bCs/>
          <w:sz w:val="28"/>
          <w:szCs w:val="28"/>
          <w:lang w:val="en-US" w:eastAsia="zh-CN"/>
        </w:rPr>
        <w:t>7.4 建立管护制度</w:t>
      </w:r>
      <w:bookmarkEnd w:id="107"/>
      <w:bookmarkEnd w:id="108"/>
      <w:bookmarkEnd w:id="109"/>
    </w:p>
    <w:p>
      <w:pPr>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积极探索市场化建设模式和新的管理方式，不断提高公众的文化素质、生态环境意识和参与程度，依靠科技创新，加大科技支撑力度，这是生态文明建设示范村创建的源泉。</w:t>
      </w:r>
    </w:p>
    <w:p>
      <w:pPr>
        <w:ind w:firstLine="562" w:firstLineChars="200"/>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利用市场机制，增强环境管理能力。</w:t>
      </w:r>
      <w:r>
        <w:rPr>
          <w:rFonts w:hint="eastAsia" w:ascii="仿宋" w:hAnsi="仿宋" w:eastAsia="仿宋" w:cs="仿宋"/>
          <w:b w:val="0"/>
          <w:bCs w:val="0"/>
          <w:sz w:val="28"/>
          <w:szCs w:val="28"/>
          <w:lang w:val="en-US" w:eastAsia="zh-CN"/>
        </w:rPr>
        <w:t>推进市场机制，把环境作为一种资源、资产、资本来经营，积极探索推行市场化的环境保护和生态建设模式，建立产业化、市场化、多元化的投资、建设、管理和运营体系。允许私人、其他资本参与生态建设和管理，逐步建立起村委会主导、市场推进、公众参与的投入机制。</w:t>
      </w:r>
    </w:p>
    <w:p>
      <w:pPr>
        <w:ind w:firstLine="562" w:firstLineChars="200"/>
        <w:rPr>
          <w:rFonts w:hint="eastAsia" w:ascii="仿宋" w:hAnsi="仿宋" w:eastAsia="仿宋" w:cs="仿宋"/>
          <w:b w:val="0"/>
          <w:bCs w:val="0"/>
          <w:sz w:val="28"/>
          <w:szCs w:val="28"/>
          <w:lang w:val="en-US" w:eastAsia="zh-CN"/>
        </w:rPr>
      </w:pPr>
      <w:r>
        <w:rPr>
          <w:rFonts w:hint="default" w:ascii="仿宋" w:hAnsi="仿宋" w:eastAsia="仿宋" w:cs="仿宋"/>
          <w:b/>
          <w:bCs/>
          <w:sz w:val="28"/>
          <w:szCs w:val="28"/>
          <w:lang w:val="en-US" w:eastAsia="zh-CN"/>
        </w:rPr>
        <w:t>积极开展形式多样的对外交流和合作。</w:t>
      </w:r>
      <w:r>
        <w:rPr>
          <w:rFonts w:hint="default" w:ascii="仿宋" w:hAnsi="仿宋" w:eastAsia="仿宋" w:cs="仿宋"/>
          <w:b w:val="0"/>
          <w:bCs w:val="0"/>
          <w:sz w:val="28"/>
          <w:szCs w:val="28"/>
          <w:lang w:val="en-US" w:eastAsia="zh-CN"/>
        </w:rPr>
        <w:t>围绕发展循环经济、生态环境建设和保护、清洁生产技术与工艺、资源综合利用等，在资金、技术、人才、管理等方面积极开展交流与合作。加强与周边</w:t>
      </w:r>
      <w:r>
        <w:rPr>
          <w:rFonts w:hint="eastAsia" w:ascii="仿宋" w:hAnsi="仿宋" w:eastAsia="仿宋" w:cs="仿宋"/>
          <w:b w:val="0"/>
          <w:bCs w:val="0"/>
          <w:sz w:val="28"/>
          <w:szCs w:val="28"/>
          <w:lang w:val="en-US" w:eastAsia="zh-CN"/>
        </w:rPr>
        <w:t>村、</w:t>
      </w:r>
      <w:r>
        <w:rPr>
          <w:rFonts w:hint="default" w:ascii="仿宋" w:hAnsi="仿宋" w:eastAsia="仿宋" w:cs="仿宋"/>
          <w:b w:val="0"/>
          <w:bCs w:val="0"/>
          <w:sz w:val="28"/>
          <w:szCs w:val="28"/>
          <w:lang w:val="en-US" w:eastAsia="zh-CN"/>
        </w:rPr>
        <w:t>乡街道在可持续发展领域的交流和合作。建立周边地区生态环境保护与建设的协作机制和有组织、可操作的专项议事制度，共同开展污染控制及综合防治工作，共同推进环境保护和生态建设。</w:t>
      </w:r>
    </w:p>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仿宋" w:hAnsi="仿宋" w:eastAsia="仿宋" w:cs="仿宋"/>
          <w:b/>
          <w:bCs/>
          <w:sz w:val="28"/>
          <w:szCs w:val="28"/>
          <w:lang w:val="en-US" w:eastAsia="zh-CN"/>
        </w:rPr>
      </w:pPr>
      <w:bookmarkStart w:id="110" w:name="_Toc15698"/>
      <w:bookmarkStart w:id="111" w:name="_Toc9583"/>
      <w:bookmarkStart w:id="112" w:name="_Toc19133"/>
      <w:r>
        <w:rPr>
          <w:rFonts w:hint="eastAsia" w:ascii="仿宋" w:hAnsi="仿宋" w:eastAsia="仿宋" w:cs="仿宋"/>
          <w:b/>
          <w:bCs/>
          <w:sz w:val="28"/>
          <w:szCs w:val="28"/>
          <w:lang w:val="en-US" w:eastAsia="zh-CN"/>
        </w:rPr>
        <w:t>7.5 引导公众参与</w:t>
      </w:r>
      <w:bookmarkEnd w:id="110"/>
      <w:bookmarkEnd w:id="111"/>
      <w:bookmarkEnd w:id="112"/>
    </w:p>
    <w:p>
      <w:pPr>
        <w:ind w:firstLine="562" w:firstLineChars="200"/>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建立社会公众积极参与的有效机制。</w:t>
      </w:r>
      <w:r>
        <w:rPr>
          <w:rFonts w:hint="eastAsia" w:ascii="仿宋" w:hAnsi="仿宋" w:eastAsia="仿宋" w:cs="仿宋"/>
          <w:b w:val="0"/>
          <w:bCs w:val="0"/>
          <w:sz w:val="28"/>
          <w:szCs w:val="28"/>
          <w:lang w:val="en-US" w:eastAsia="zh-CN"/>
        </w:rPr>
        <w:t>建立和完善促进公众参与的政策和规范性制度，充分发挥公众的主人翁责任感。积极参加生态环境建设，努力做到净化、绿化、美化环境；尽职尽责做好环境保护工作；监督举报污染和破坏生态环境的行为；积极参与生态文化建设，普及生态环境科学知识，努力提高社会的环境道德水平，形成良好的社会风气。</w:t>
      </w:r>
    </w:p>
    <w:p>
      <w:pPr>
        <w:ind w:firstLine="562" w:firstLineChars="200"/>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加强生态文明建设示范村创建的宣传与教育。</w:t>
      </w:r>
      <w:r>
        <w:rPr>
          <w:rFonts w:hint="eastAsia" w:ascii="仿宋" w:hAnsi="仿宋" w:eastAsia="仿宋" w:cs="仿宋"/>
          <w:b w:val="0"/>
          <w:bCs w:val="0"/>
          <w:sz w:val="28"/>
          <w:szCs w:val="28"/>
          <w:lang w:val="en-US" w:eastAsia="zh-CN"/>
        </w:rPr>
        <w:t>广泛深入地开展多形式、多层次、多渠道的生态文明建设示范村创建宣传教育活动，在全社会形成良好的氛围。积极开展群众性生态科普教育活动，不断提高公众的生态意识。充分发挥广播、电视和报刊等新闻媒体的舆论监督作用，及时报道和表彰生态文明建设示范村创建的先进典型，公开揭露和惩治污染环境、破坏生态的违法行为。各级领导干部和共产党员要充分发挥先锋模范作用。通过广泛宣传教育，调动广大人民群众的积极性，发挥他们的创造性，把生态文明建设示范村创建转化为全社会的自觉行动。</w:t>
      </w:r>
    </w:p>
    <w:p>
      <w:pPr>
        <w:keepNext w:val="0"/>
        <w:keepLines w:val="0"/>
        <w:pageBreakBefore w:val="0"/>
        <w:widowControl w:val="0"/>
        <w:kinsoku/>
        <w:wordWrap/>
        <w:overflowPunct/>
        <w:topLinePunct w:val="0"/>
        <w:autoSpaceDE/>
        <w:autoSpaceDN/>
        <w:bidi w:val="0"/>
        <w:adjustRightInd/>
        <w:snapToGrid/>
        <w:textAlignment w:val="auto"/>
        <w:outlineLvl w:val="1"/>
        <w:rPr>
          <w:rFonts w:hint="default" w:ascii="仿宋" w:hAnsi="仿宋" w:eastAsia="仿宋" w:cs="仿宋"/>
          <w:b/>
          <w:bCs/>
          <w:sz w:val="28"/>
          <w:szCs w:val="28"/>
          <w:lang w:val="en-US" w:eastAsia="zh-CN"/>
        </w:rPr>
      </w:pPr>
      <w:bookmarkStart w:id="113" w:name="_Toc11090"/>
      <w:bookmarkStart w:id="114" w:name="_Toc30503"/>
      <w:bookmarkStart w:id="115" w:name="_Toc5786"/>
      <w:r>
        <w:rPr>
          <w:rFonts w:hint="eastAsia" w:ascii="仿宋" w:hAnsi="仿宋" w:eastAsia="仿宋" w:cs="仿宋"/>
          <w:b/>
          <w:bCs/>
          <w:sz w:val="28"/>
          <w:szCs w:val="28"/>
          <w:lang w:val="en-US" w:eastAsia="zh-CN"/>
        </w:rPr>
        <w:t>7.6 建议</w:t>
      </w:r>
      <w:bookmarkEnd w:id="113"/>
      <w:bookmarkEnd w:id="114"/>
      <w:bookmarkEnd w:id="115"/>
    </w:p>
    <w:p>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textAlignment w:val="cente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w:t>
      </w:r>
      <w:r>
        <w:rPr>
          <w:rFonts w:hint="eastAsia" w:ascii="仿宋" w:hAnsi="仿宋" w:eastAsia="仿宋" w:cs="仿宋"/>
          <w:b w:val="0"/>
          <w:bCs w:val="0"/>
          <w:sz w:val="28"/>
          <w:szCs w:val="28"/>
          <w:lang w:val="en-US" w:eastAsia="zh-CN"/>
        </w:rPr>
        <w:t>生态文明建设示范村</w:t>
      </w:r>
      <w:r>
        <w:rPr>
          <w:rFonts w:hint="eastAsia" w:ascii="仿宋" w:hAnsi="仿宋" w:eastAsia="仿宋" w:cs="仿宋"/>
          <w:b w:val="0"/>
          <w:bCs w:val="0"/>
          <w:kern w:val="2"/>
          <w:sz w:val="28"/>
          <w:szCs w:val="28"/>
          <w:lang w:val="en-US" w:eastAsia="zh-CN" w:bidi="ar-SA"/>
        </w:rPr>
        <w:t>建设工作中，自始至终必须以切实维护农民合法权益为宗旨。要保障农民对</w:t>
      </w:r>
      <w:r>
        <w:rPr>
          <w:rFonts w:hint="eastAsia" w:ascii="仿宋" w:hAnsi="仿宋" w:eastAsia="仿宋" w:cs="仿宋"/>
          <w:b w:val="0"/>
          <w:bCs w:val="0"/>
          <w:sz w:val="28"/>
          <w:szCs w:val="28"/>
          <w:lang w:val="en-US" w:eastAsia="zh-CN"/>
        </w:rPr>
        <w:t>生态文明建设示范村</w:t>
      </w:r>
      <w:r>
        <w:rPr>
          <w:rFonts w:hint="eastAsia" w:ascii="仿宋" w:hAnsi="仿宋" w:eastAsia="仿宋" w:cs="仿宋"/>
          <w:b w:val="0"/>
          <w:bCs w:val="0"/>
          <w:kern w:val="2"/>
          <w:sz w:val="28"/>
          <w:szCs w:val="28"/>
          <w:lang w:val="en-US" w:eastAsia="zh-CN" w:bidi="ar-SA"/>
        </w:rPr>
        <w:t>建设工作的知情权，参与权和监督权，防止盲目决策和包办代替。要做到：</w:t>
      </w:r>
    </w:p>
    <w:p>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textAlignment w:val="cente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①让农民参与规划编制的全过程，即参加座谈会，规划方案汇报会和规划成果审查会。</w:t>
      </w:r>
    </w:p>
    <w:p>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textAlignment w:val="cente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②让农民参与整治建设的全过程，完善农民投工投劳制度。</w:t>
      </w:r>
    </w:p>
    <w:p>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textAlignment w:val="cente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③让农民参与资金与实物使用的全过程监督，完善账目公开制度。</w:t>
      </w:r>
    </w:p>
    <w:p>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textAlignment w:val="cente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④让农民参与整治项目验收的全过程，完善监督检查制度。</w:t>
      </w:r>
    </w:p>
    <w:p>
      <w:pPr>
        <w:pStyle w:val="1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textAlignment w:val="cente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w:t>
      </w:r>
      <w:r>
        <w:rPr>
          <w:rFonts w:hint="eastAsia" w:ascii="仿宋" w:hAnsi="仿宋" w:eastAsia="仿宋" w:cs="仿宋"/>
          <w:b w:val="0"/>
          <w:bCs w:val="0"/>
          <w:sz w:val="28"/>
          <w:szCs w:val="28"/>
          <w:lang w:val="en-US" w:eastAsia="zh-CN"/>
        </w:rPr>
        <w:t>生态文明建设示范村</w:t>
      </w:r>
      <w:r>
        <w:rPr>
          <w:rFonts w:hint="eastAsia" w:ascii="仿宋" w:hAnsi="仿宋" w:eastAsia="仿宋" w:cs="仿宋"/>
          <w:b w:val="0"/>
          <w:bCs w:val="0"/>
          <w:kern w:val="2"/>
          <w:sz w:val="28"/>
          <w:szCs w:val="28"/>
          <w:lang w:val="en-US" w:eastAsia="zh-CN" w:bidi="ar-SA"/>
        </w:rPr>
        <w:t>建设工作必须坚持发挥各方面的积极性要畅通社会参与</w:t>
      </w:r>
      <w:r>
        <w:rPr>
          <w:rFonts w:hint="eastAsia" w:ascii="仿宋" w:hAnsi="仿宋" w:eastAsia="仿宋" w:cs="仿宋"/>
          <w:b w:val="0"/>
          <w:bCs w:val="0"/>
          <w:sz w:val="28"/>
          <w:szCs w:val="28"/>
          <w:lang w:val="en-US" w:eastAsia="zh-CN"/>
        </w:rPr>
        <w:t>生态文明建设示范村</w:t>
      </w:r>
      <w:r>
        <w:rPr>
          <w:rFonts w:hint="eastAsia" w:ascii="仿宋" w:hAnsi="仿宋" w:eastAsia="仿宋" w:cs="仿宋"/>
          <w:b w:val="0"/>
          <w:bCs w:val="0"/>
          <w:kern w:val="2"/>
          <w:sz w:val="28"/>
          <w:szCs w:val="28"/>
          <w:lang w:val="en-US" w:eastAsia="zh-CN" w:bidi="ar-SA"/>
        </w:rPr>
        <w:t>建设的渠道鼓励社会各界以多种形式参与和支持</w:t>
      </w:r>
      <w:r>
        <w:rPr>
          <w:rFonts w:hint="eastAsia" w:ascii="仿宋" w:hAnsi="仿宋" w:eastAsia="仿宋" w:cs="仿宋"/>
          <w:b w:val="0"/>
          <w:bCs w:val="0"/>
          <w:sz w:val="28"/>
          <w:szCs w:val="28"/>
          <w:lang w:val="en-US" w:eastAsia="zh-CN"/>
        </w:rPr>
        <w:t>生态文明建设示范村</w:t>
      </w:r>
      <w:r>
        <w:rPr>
          <w:rFonts w:hint="eastAsia" w:ascii="仿宋" w:hAnsi="仿宋" w:eastAsia="仿宋" w:cs="仿宋"/>
          <w:b w:val="0"/>
          <w:bCs w:val="0"/>
          <w:kern w:val="2"/>
          <w:sz w:val="28"/>
          <w:szCs w:val="28"/>
          <w:lang w:val="en-US" w:eastAsia="zh-CN" w:bidi="ar-SA"/>
        </w:rPr>
        <w:t>建设工作。</w:t>
      </w:r>
    </w:p>
    <w:p>
      <w:pPr>
        <w:ind w:firstLine="964" w:firstLineChars="200"/>
        <w:rPr>
          <w:rFonts w:hint="default" w:ascii="仿宋_GB2312" w:hAnsi="宋体" w:eastAsia="仿宋_GB2312" w:cs="宋体"/>
          <w:b/>
          <w:bCs/>
          <w:sz w:val="48"/>
          <w:szCs w:val="48"/>
          <w:lang w:val="en-US" w:eastAsia="zh-CN"/>
        </w:rPr>
      </w:pPr>
      <w:r>
        <w:rPr>
          <w:rFonts w:hint="default" w:ascii="仿宋_GB2312" w:hAnsi="宋体" w:eastAsia="仿宋_GB2312" w:cs="宋体"/>
          <w:b/>
          <w:bCs/>
          <w:sz w:val="48"/>
          <w:szCs w:val="48"/>
          <w:lang w:val="en-US" w:eastAsia="zh-CN"/>
        </w:rPr>
        <w:br w:type="page"/>
      </w:r>
    </w:p>
    <w:p>
      <w:pPr>
        <w:keepNext w:val="0"/>
        <w:keepLines w:val="0"/>
        <w:pageBreakBefore w:val="0"/>
        <w:widowControl w:val="0"/>
        <w:kinsoku/>
        <w:wordWrap/>
        <w:overflowPunct/>
        <w:topLinePunct w:val="0"/>
        <w:autoSpaceDE/>
        <w:autoSpaceDN/>
        <w:bidi w:val="0"/>
        <w:adjustRightInd/>
        <w:snapToGrid/>
        <w:textAlignment w:val="auto"/>
        <w:outlineLvl w:val="0"/>
        <w:rPr>
          <w:rFonts w:hint="default" w:ascii="仿宋" w:hAnsi="仿宋" w:eastAsia="仿宋" w:cs="仿宋"/>
          <w:b/>
          <w:bCs/>
          <w:sz w:val="32"/>
          <w:szCs w:val="32"/>
          <w:lang w:val="en-US" w:eastAsia="zh-CN"/>
        </w:rPr>
      </w:pPr>
      <w:bookmarkStart w:id="116" w:name="_Toc27443"/>
      <w:bookmarkStart w:id="117" w:name="_Toc10489"/>
      <w:bookmarkStart w:id="118" w:name="_Toc15391"/>
      <w:r>
        <w:rPr>
          <w:rFonts w:hint="default" w:ascii="仿宋" w:hAnsi="仿宋" w:eastAsia="仿宋" w:cs="仿宋"/>
          <w:b/>
          <w:bCs/>
          <w:sz w:val="32"/>
          <w:szCs w:val="32"/>
          <w:lang w:val="en-US" w:eastAsia="zh-CN"/>
        </w:rPr>
        <w:t>8 规划附件</w:t>
      </w:r>
      <w:bookmarkEnd w:id="116"/>
      <w:bookmarkEnd w:id="117"/>
      <w:bookmarkEnd w:id="118"/>
      <w:r>
        <w:rPr>
          <w:rFonts w:hint="default" w:ascii="仿宋" w:hAnsi="仿宋" w:eastAsia="仿宋" w:cs="仿宋"/>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outlineLvl w:val="1"/>
        <w:rPr>
          <w:rFonts w:hint="default" w:ascii="仿宋" w:hAnsi="仿宋" w:eastAsia="仿宋" w:cs="仿宋"/>
          <w:b/>
          <w:bCs/>
          <w:sz w:val="28"/>
          <w:szCs w:val="28"/>
          <w:lang w:val="en-US" w:eastAsia="zh-CN"/>
        </w:rPr>
      </w:pPr>
      <w:bookmarkStart w:id="119" w:name="_Toc29123"/>
      <w:bookmarkStart w:id="120" w:name="_Toc12135"/>
      <w:bookmarkStart w:id="121" w:name="_Toc11744"/>
      <w:r>
        <w:rPr>
          <w:rFonts w:hint="default" w:ascii="仿宋" w:hAnsi="仿宋" w:eastAsia="仿宋" w:cs="仿宋"/>
          <w:b/>
          <w:bCs/>
          <w:sz w:val="28"/>
          <w:szCs w:val="28"/>
          <w:lang w:val="en-US" w:eastAsia="zh-CN"/>
        </w:rPr>
        <w:t>8.</w:t>
      </w:r>
      <w:r>
        <w:rPr>
          <w:rFonts w:hint="eastAsia" w:ascii="仿宋" w:hAnsi="仿宋" w:eastAsia="仿宋" w:cs="仿宋"/>
          <w:b/>
          <w:bCs/>
          <w:sz w:val="28"/>
          <w:szCs w:val="28"/>
          <w:lang w:val="en-US" w:eastAsia="zh-CN"/>
        </w:rPr>
        <w:t>1</w:t>
      </w:r>
      <w:r>
        <w:rPr>
          <w:rFonts w:hint="default" w:ascii="仿宋" w:hAnsi="仿宋" w:eastAsia="仿宋" w:cs="仿宋"/>
          <w:b/>
          <w:bCs/>
          <w:sz w:val="28"/>
          <w:szCs w:val="28"/>
          <w:lang w:val="en-US" w:eastAsia="zh-CN"/>
        </w:rPr>
        <w:t xml:space="preserve"> 规划附表</w:t>
      </w:r>
      <w:bookmarkEnd w:id="119"/>
      <w:bookmarkEnd w:id="120"/>
      <w:bookmarkEnd w:id="121"/>
    </w:p>
    <w:p>
      <w:pPr>
        <w:ind w:firstLine="560" w:firstLineChars="200"/>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规划附表主要包括重点项目清单一览表等。各项目具体建设内容及项目投资情况见附表 1。</w:t>
      </w:r>
    </w:p>
    <w:p>
      <w:pPr>
        <w:keepNext w:val="0"/>
        <w:keepLines w:val="0"/>
        <w:pageBreakBefore w:val="0"/>
        <w:widowControl w:val="0"/>
        <w:kinsoku/>
        <w:wordWrap/>
        <w:overflowPunct/>
        <w:topLinePunct w:val="0"/>
        <w:autoSpaceDE/>
        <w:autoSpaceDN/>
        <w:bidi w:val="0"/>
        <w:adjustRightInd/>
        <w:snapToGrid/>
        <w:textAlignment w:val="auto"/>
        <w:outlineLvl w:val="1"/>
        <w:rPr>
          <w:rFonts w:hint="default" w:ascii="仿宋" w:hAnsi="仿宋" w:eastAsia="仿宋" w:cs="仿宋"/>
          <w:b/>
          <w:bCs/>
          <w:sz w:val="28"/>
          <w:szCs w:val="28"/>
          <w:lang w:val="en-US" w:eastAsia="zh-CN"/>
        </w:rPr>
      </w:pPr>
      <w:bookmarkStart w:id="122" w:name="_Toc10587"/>
      <w:bookmarkStart w:id="123" w:name="_Toc17175"/>
      <w:bookmarkStart w:id="124" w:name="_Toc567"/>
      <w:r>
        <w:rPr>
          <w:rFonts w:hint="default" w:ascii="仿宋" w:hAnsi="仿宋" w:eastAsia="仿宋" w:cs="仿宋"/>
          <w:b/>
          <w:bCs/>
          <w:sz w:val="28"/>
          <w:szCs w:val="28"/>
          <w:lang w:val="en-US" w:eastAsia="zh-CN"/>
        </w:rPr>
        <w:t>8.</w:t>
      </w:r>
      <w:r>
        <w:rPr>
          <w:rFonts w:hint="eastAsia" w:ascii="仿宋" w:hAnsi="仿宋" w:eastAsia="仿宋" w:cs="仿宋"/>
          <w:b/>
          <w:bCs/>
          <w:sz w:val="28"/>
          <w:szCs w:val="28"/>
          <w:lang w:val="en-US" w:eastAsia="zh-CN"/>
        </w:rPr>
        <w:t>2</w:t>
      </w:r>
      <w:r>
        <w:rPr>
          <w:rFonts w:hint="default" w:ascii="仿宋" w:hAnsi="仿宋" w:eastAsia="仿宋" w:cs="仿宋"/>
          <w:b/>
          <w:bCs/>
          <w:sz w:val="28"/>
          <w:szCs w:val="28"/>
          <w:lang w:val="en-US" w:eastAsia="zh-CN"/>
        </w:rPr>
        <w:t xml:space="preserve"> 规划附图</w:t>
      </w:r>
      <w:bookmarkEnd w:id="122"/>
      <w:bookmarkEnd w:id="123"/>
      <w:bookmarkEnd w:id="124"/>
    </w:p>
    <w:p>
      <w:pPr>
        <w:ind w:firstLine="560" w:firstLineChars="200"/>
        <w:rPr>
          <w:rFonts w:hint="default" w:ascii="仿宋" w:hAnsi="仿宋" w:eastAsia="仿宋" w:cs="仿宋"/>
          <w:b w:val="0"/>
          <w:bCs w:val="0"/>
          <w:sz w:val="28"/>
          <w:szCs w:val="28"/>
          <w:highlight w:val="yellow"/>
          <w:lang w:val="en-US" w:eastAsia="zh-CN"/>
        </w:rPr>
      </w:pPr>
      <w:r>
        <w:rPr>
          <w:rFonts w:hint="eastAsia" w:ascii="仿宋" w:hAnsi="仿宋" w:eastAsia="仿宋" w:cs="仿宋"/>
          <w:b w:val="0"/>
          <w:bCs w:val="0"/>
          <w:sz w:val="28"/>
          <w:szCs w:val="28"/>
          <w:lang w:val="en-US" w:eastAsia="zh-CN"/>
        </w:rPr>
        <w:t>陈家桥村</w:t>
      </w:r>
      <w:r>
        <w:rPr>
          <w:rFonts w:hint="default" w:ascii="仿宋" w:hAnsi="仿宋" w:eastAsia="仿宋" w:cs="仿宋"/>
          <w:b w:val="0"/>
          <w:bCs w:val="0"/>
          <w:sz w:val="28"/>
          <w:szCs w:val="28"/>
          <w:lang w:val="en-US" w:eastAsia="zh-CN"/>
        </w:rPr>
        <w:t>规划附图包括：</w:t>
      </w:r>
      <w:r>
        <w:rPr>
          <w:rFonts w:hint="eastAsia" w:ascii="仿宋" w:hAnsi="仿宋" w:eastAsia="仿宋" w:cs="仿宋"/>
          <w:b w:val="0"/>
          <w:bCs w:val="0"/>
          <w:sz w:val="28"/>
          <w:szCs w:val="28"/>
          <w:lang w:val="en-US" w:eastAsia="zh-CN"/>
        </w:rPr>
        <w:t>区位分析</w:t>
      </w:r>
      <w:r>
        <w:rPr>
          <w:rFonts w:hint="default" w:ascii="仿宋" w:hAnsi="仿宋" w:eastAsia="仿宋" w:cs="仿宋"/>
          <w:b w:val="0"/>
          <w:bCs w:val="0"/>
          <w:sz w:val="28"/>
          <w:szCs w:val="28"/>
          <w:lang w:val="en-US" w:eastAsia="zh-CN"/>
        </w:rPr>
        <w:t>图、</w:t>
      </w:r>
      <w:r>
        <w:rPr>
          <w:rFonts w:hint="eastAsia" w:ascii="仿宋" w:hAnsi="仿宋" w:eastAsia="仿宋" w:cs="仿宋"/>
          <w:b w:val="0"/>
          <w:bCs w:val="0"/>
          <w:sz w:val="28"/>
          <w:szCs w:val="28"/>
          <w:lang w:val="en-US" w:eastAsia="zh-CN"/>
        </w:rPr>
        <w:t>村域空间管制规划图、村域土地利用规划图</w:t>
      </w:r>
      <w:r>
        <w:rPr>
          <w:rFonts w:hint="default" w:ascii="仿宋" w:hAnsi="仿宋" w:eastAsia="仿宋" w:cs="仿宋"/>
          <w:b w:val="0"/>
          <w:bCs w:val="0"/>
          <w:sz w:val="28"/>
          <w:szCs w:val="28"/>
          <w:lang w:val="en-US" w:eastAsia="zh-CN"/>
        </w:rPr>
        <w:t>、</w:t>
      </w:r>
      <w:r>
        <w:rPr>
          <w:rFonts w:hint="eastAsia" w:ascii="仿宋" w:hAnsi="仿宋" w:eastAsia="仿宋" w:cs="仿宋"/>
          <w:b w:val="0"/>
          <w:bCs w:val="0"/>
          <w:sz w:val="28"/>
          <w:szCs w:val="28"/>
          <w:lang w:val="en-US" w:eastAsia="zh-CN"/>
        </w:rPr>
        <w:t>村域产业布局规划图、村域综合规划图</w:t>
      </w:r>
      <w:r>
        <w:rPr>
          <w:rFonts w:hint="default" w:ascii="仿宋" w:hAnsi="仿宋" w:eastAsia="仿宋" w:cs="仿宋"/>
          <w:b w:val="0"/>
          <w:bCs w:val="0"/>
          <w:sz w:val="28"/>
          <w:szCs w:val="28"/>
          <w:lang w:val="en-US" w:eastAsia="zh-CN"/>
        </w:rPr>
        <w:t>等。</w:t>
      </w:r>
    </w:p>
    <w:p>
      <w:pPr>
        <w:rPr>
          <w:rFonts w:hint="default"/>
          <w:lang w:val="en-US" w:eastAsia="zh-CN"/>
        </w:rPr>
        <w:sectPr>
          <w:footerReference r:id="rId5" w:type="default"/>
          <w:pgSz w:w="11906" w:h="16838"/>
          <w:pgMar w:top="1440" w:right="1800" w:bottom="1440" w:left="1800" w:header="851" w:footer="992" w:gutter="0"/>
          <w:pgNumType w:fmt="decimal" w:start="1"/>
          <w:cols w:space="425" w:num="1"/>
          <w:docGrid w:type="lines" w:linePitch="312" w:charSpace="0"/>
        </w:sectPr>
      </w:pPr>
    </w:p>
    <w:p>
      <w:pPr>
        <w:pStyle w:val="2"/>
        <w:keepNext w:val="0"/>
        <w:keepLines w:val="0"/>
        <w:pageBreakBefore w:val="0"/>
        <w:widowControl w:val="0"/>
        <w:kinsoku/>
        <w:wordWrap/>
        <w:overflowPunct/>
        <w:topLinePunct w:val="0"/>
        <w:autoSpaceDE/>
        <w:autoSpaceDN/>
        <w:bidi w:val="0"/>
        <w:adjustRightInd/>
        <w:snapToGrid/>
        <w:jc w:val="center"/>
        <w:textAlignment w:val="auto"/>
        <w:outlineLvl w:val="0"/>
        <w:rPr>
          <w:rFonts w:hint="eastAsia" w:ascii="仿宋" w:hAnsi="仿宋" w:eastAsia="仿宋" w:cs="仿宋"/>
          <w:b/>
          <w:bCs/>
          <w:lang w:val="en-US" w:eastAsia="zh-CN"/>
        </w:rPr>
      </w:pPr>
      <w:bookmarkStart w:id="125" w:name="_Toc19735"/>
      <w:bookmarkStart w:id="126" w:name="_Toc14514"/>
      <w:bookmarkStart w:id="127" w:name="_Toc15167"/>
      <w:r>
        <w:rPr>
          <w:rFonts w:hint="eastAsia" w:ascii="仿宋" w:hAnsi="仿宋" w:eastAsia="仿宋" w:cs="仿宋"/>
          <w:b/>
          <w:bCs/>
          <w:lang w:val="en-US" w:eastAsia="zh-CN"/>
        </w:rPr>
        <w:t>附表 1   陈家桥村生态文明建设重点工程表</w:t>
      </w:r>
      <w:bookmarkEnd w:id="125"/>
      <w:bookmarkEnd w:id="126"/>
      <w:bookmarkEnd w:id="127"/>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784"/>
        <w:gridCol w:w="8465"/>
        <w:gridCol w:w="1004"/>
        <w:gridCol w:w="735"/>
        <w:gridCol w:w="922"/>
        <w:gridCol w:w="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1"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序号</w:t>
            </w:r>
          </w:p>
        </w:tc>
        <w:tc>
          <w:tcPr>
            <w:tcW w:w="629"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项目名称</w:t>
            </w:r>
          </w:p>
        </w:tc>
        <w:tc>
          <w:tcPr>
            <w:tcW w:w="2986"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建设内容</w:t>
            </w:r>
          </w:p>
        </w:tc>
        <w:tc>
          <w:tcPr>
            <w:tcW w:w="35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建设地点</w:t>
            </w:r>
          </w:p>
        </w:tc>
        <w:tc>
          <w:tcPr>
            <w:tcW w:w="259"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项目属性</w:t>
            </w:r>
          </w:p>
        </w:tc>
        <w:tc>
          <w:tcPr>
            <w:tcW w:w="325"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建设年限</w:t>
            </w:r>
          </w:p>
        </w:tc>
        <w:tc>
          <w:tcPr>
            <w:tcW w:w="26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投资额/万元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1"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u w:val="none"/>
                <w:vertAlign w:val="baseline"/>
                <w:lang w:val="en-US" w:eastAsia="zh-CN"/>
              </w:rPr>
            </w:pPr>
            <w:r>
              <w:rPr>
                <w:rFonts w:hint="eastAsia" w:ascii="仿宋" w:hAnsi="仿宋" w:eastAsia="仿宋" w:cs="仿宋"/>
                <w:sz w:val="24"/>
                <w:szCs w:val="24"/>
                <w:u w:val="none"/>
                <w:vertAlign w:val="baseline"/>
                <w:lang w:val="en-US" w:eastAsia="zh-CN"/>
              </w:rPr>
              <w:t>1</w:t>
            </w:r>
          </w:p>
        </w:tc>
        <w:tc>
          <w:tcPr>
            <w:tcW w:w="629"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u w:val="none"/>
                <w:vertAlign w:val="baseline"/>
                <w:lang w:val="en-US" w:eastAsia="zh-CN"/>
              </w:rPr>
            </w:pPr>
            <w:r>
              <w:rPr>
                <w:rFonts w:hint="eastAsia" w:ascii="仿宋" w:hAnsi="仿宋" w:eastAsia="仿宋" w:cs="仿宋"/>
                <w:sz w:val="24"/>
                <w:szCs w:val="24"/>
                <w:u w:val="none"/>
                <w:vertAlign w:val="baseline"/>
                <w:lang w:val="en-US" w:eastAsia="zh-CN"/>
              </w:rPr>
              <w:t>生活污水治理建设工程</w:t>
            </w:r>
          </w:p>
        </w:tc>
        <w:tc>
          <w:tcPr>
            <w:tcW w:w="2986"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u w:val="none"/>
                <w:vertAlign w:val="baseline"/>
                <w:lang w:val="en-US" w:eastAsia="zh-CN"/>
              </w:rPr>
            </w:pPr>
            <w:r>
              <w:rPr>
                <w:rFonts w:hint="eastAsia" w:ascii="仿宋" w:hAnsi="仿宋" w:eastAsia="仿宋" w:cs="仿宋"/>
                <w:b w:val="0"/>
                <w:bCs w:val="0"/>
                <w:kern w:val="2"/>
                <w:sz w:val="28"/>
                <w:szCs w:val="28"/>
                <w:u w:val="none"/>
                <w:lang w:val="en-US" w:eastAsia="zh-CN" w:bidi="ar-SA"/>
              </w:rPr>
              <w:t>对</w:t>
            </w:r>
            <w:r>
              <w:rPr>
                <w:rFonts w:hint="eastAsia" w:ascii="仿宋" w:hAnsi="仿宋" w:eastAsia="仿宋" w:cs="仿宋"/>
                <w:sz w:val="24"/>
                <w:szCs w:val="24"/>
                <w:vertAlign w:val="baseline"/>
                <w:lang w:val="en-US" w:eastAsia="zh-CN"/>
              </w:rPr>
              <w:t>千公塘组、少家组、黑屋组共200余户的生活污水在三格式化粪池处理的基础上，采用四格式农户生活污水分散式处理。</w:t>
            </w:r>
          </w:p>
        </w:tc>
        <w:tc>
          <w:tcPr>
            <w:tcW w:w="35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u w:val="none"/>
                <w:vertAlign w:val="baseline"/>
                <w:lang w:val="en-US" w:eastAsia="zh-CN"/>
              </w:rPr>
            </w:pPr>
            <w:r>
              <w:rPr>
                <w:rFonts w:hint="eastAsia" w:ascii="仿宋" w:hAnsi="仿宋" w:eastAsia="仿宋" w:cs="仿宋"/>
                <w:sz w:val="24"/>
                <w:szCs w:val="24"/>
                <w:u w:val="none"/>
                <w:vertAlign w:val="baseline"/>
                <w:lang w:val="en-US" w:eastAsia="zh-CN"/>
              </w:rPr>
              <w:t>陈家桥全村</w:t>
            </w:r>
          </w:p>
        </w:tc>
        <w:tc>
          <w:tcPr>
            <w:tcW w:w="259"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u w:val="none"/>
                <w:vertAlign w:val="baseline"/>
                <w:lang w:val="en-US" w:eastAsia="zh-CN"/>
              </w:rPr>
            </w:pPr>
            <w:r>
              <w:rPr>
                <w:rFonts w:hint="eastAsia" w:ascii="仿宋" w:hAnsi="仿宋" w:eastAsia="仿宋" w:cs="仿宋"/>
                <w:sz w:val="24"/>
                <w:szCs w:val="24"/>
                <w:u w:val="none"/>
                <w:vertAlign w:val="baseline"/>
                <w:lang w:val="en-US" w:eastAsia="zh-CN"/>
              </w:rPr>
              <w:t>新建</w:t>
            </w:r>
          </w:p>
        </w:tc>
        <w:tc>
          <w:tcPr>
            <w:tcW w:w="325"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u w:val="none"/>
                <w:vertAlign w:val="baseline"/>
                <w:lang w:val="en-US" w:eastAsia="zh-CN"/>
              </w:rPr>
            </w:pPr>
            <w:r>
              <w:rPr>
                <w:rFonts w:hint="eastAsia" w:ascii="仿宋" w:hAnsi="仿宋" w:eastAsia="仿宋" w:cs="仿宋"/>
                <w:sz w:val="24"/>
                <w:szCs w:val="24"/>
                <w:u w:val="none"/>
                <w:vertAlign w:val="baseline"/>
                <w:lang w:val="en-US" w:eastAsia="zh-CN"/>
              </w:rPr>
              <w:t>2021</w:t>
            </w:r>
          </w:p>
        </w:tc>
        <w:tc>
          <w:tcPr>
            <w:tcW w:w="26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u w:val="none"/>
                <w:vertAlign w:val="baseline"/>
                <w:lang w:val="en-US" w:eastAsia="zh-CN"/>
              </w:rPr>
            </w:pPr>
            <w:r>
              <w:rPr>
                <w:rFonts w:hint="eastAsia" w:ascii="仿宋" w:hAnsi="仿宋" w:eastAsia="仿宋" w:cs="仿宋"/>
                <w:sz w:val="24"/>
                <w:szCs w:val="24"/>
                <w:u w:val="none"/>
                <w:vertAlign w:val="baseli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1"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629"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农村面源污染治理项目</w:t>
            </w:r>
          </w:p>
        </w:tc>
        <w:tc>
          <w:tcPr>
            <w:tcW w:w="2986"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乡村清洁工程、推广科学施肥技术和农药技术，减少化肥、农药、农膜用量</w:t>
            </w:r>
          </w:p>
        </w:tc>
        <w:tc>
          <w:tcPr>
            <w:tcW w:w="35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陈家桥全村</w:t>
            </w:r>
          </w:p>
        </w:tc>
        <w:tc>
          <w:tcPr>
            <w:tcW w:w="259"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续建</w:t>
            </w:r>
          </w:p>
        </w:tc>
        <w:tc>
          <w:tcPr>
            <w:tcW w:w="325"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2021-2023</w:t>
            </w:r>
          </w:p>
        </w:tc>
        <w:tc>
          <w:tcPr>
            <w:tcW w:w="26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1"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629"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生活垃圾处理项目</w:t>
            </w:r>
          </w:p>
        </w:tc>
        <w:tc>
          <w:tcPr>
            <w:tcW w:w="2986"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推进生活垃圾实现资源化、无害化和减量化处置。进一步加强垃圾回收网络体系建设，完善无害化处理处置系统。严格控制固体废物污染，医疗垃圾等固体危险废弃物必须单独收集、单独运输、单独处理。加强对现有垃圾收集站、垃圾运输车的提质改造。</w:t>
            </w:r>
          </w:p>
        </w:tc>
        <w:tc>
          <w:tcPr>
            <w:tcW w:w="35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陈家桥全村</w:t>
            </w:r>
          </w:p>
        </w:tc>
        <w:tc>
          <w:tcPr>
            <w:tcW w:w="259"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续建</w:t>
            </w:r>
          </w:p>
        </w:tc>
        <w:tc>
          <w:tcPr>
            <w:tcW w:w="325"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2021-2025</w:t>
            </w:r>
          </w:p>
        </w:tc>
        <w:tc>
          <w:tcPr>
            <w:tcW w:w="26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1"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629"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美丽屋场建设项目</w:t>
            </w:r>
          </w:p>
        </w:tc>
        <w:tc>
          <w:tcPr>
            <w:tcW w:w="2986"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继续建立美丽屋场的小型人工湿地，对生产生活污水进行化粪池处理后引入复合人工湿地，采取生物和植物吸收的手段</w:t>
            </w:r>
            <w:r>
              <w:rPr>
                <w:rFonts w:hint="default" w:ascii="仿宋" w:hAnsi="仿宋" w:eastAsia="仿宋" w:cs="仿宋"/>
                <w:sz w:val="24"/>
                <w:szCs w:val="24"/>
                <w:vertAlign w:val="baseline"/>
                <w:lang w:val="en-US" w:eastAsia="zh-CN"/>
              </w:rPr>
              <w:t>从源头治理农村生活污水，使农村人居环境得到了更进一步的改善。</w:t>
            </w:r>
            <w:r>
              <w:rPr>
                <w:rFonts w:hint="eastAsia" w:ascii="仿宋" w:hAnsi="仿宋" w:eastAsia="仿宋" w:cs="仿宋"/>
                <w:sz w:val="24"/>
                <w:szCs w:val="24"/>
                <w:vertAlign w:val="baseline"/>
                <w:lang w:val="en-US" w:eastAsia="zh-CN"/>
              </w:rPr>
              <w:t>并以美丽屋场为中心，在公共用地、房前屋后、庭院、边角绿地、菜地、屋巷小路打造生活绿化点及绿化林带，优化人居环境，兼顾绿化美化的作用。</w:t>
            </w:r>
          </w:p>
        </w:tc>
        <w:tc>
          <w:tcPr>
            <w:tcW w:w="35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陈家桥全村</w:t>
            </w:r>
          </w:p>
        </w:tc>
        <w:tc>
          <w:tcPr>
            <w:tcW w:w="259"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续建</w:t>
            </w:r>
          </w:p>
        </w:tc>
        <w:tc>
          <w:tcPr>
            <w:tcW w:w="325"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2021-2025</w:t>
            </w:r>
          </w:p>
        </w:tc>
        <w:tc>
          <w:tcPr>
            <w:tcW w:w="26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1"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629"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农村秸秆综合利用示范项目</w:t>
            </w:r>
          </w:p>
        </w:tc>
        <w:tc>
          <w:tcPr>
            <w:tcW w:w="2986"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加强秸秆肥料化、能源化、原料化、饲料化、基料化等利用工作，禁止秸秆露天焚烧</w:t>
            </w:r>
          </w:p>
        </w:tc>
        <w:tc>
          <w:tcPr>
            <w:tcW w:w="35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陈家桥全村</w:t>
            </w:r>
          </w:p>
        </w:tc>
        <w:tc>
          <w:tcPr>
            <w:tcW w:w="259"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新建</w:t>
            </w:r>
          </w:p>
        </w:tc>
        <w:tc>
          <w:tcPr>
            <w:tcW w:w="325"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2021-2022</w:t>
            </w:r>
          </w:p>
        </w:tc>
        <w:tc>
          <w:tcPr>
            <w:tcW w:w="26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81"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629"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环境宣教工程</w:t>
            </w:r>
          </w:p>
        </w:tc>
        <w:tc>
          <w:tcPr>
            <w:tcW w:w="2986"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通过政府机关宣传栏、学校黑板报、社区展览等形式，普及公民环保知识，增强公民环保意识；充分发挥各类新闻媒体的环保宣传功能，确定环保宣传教育新闻宣传计划，开设环保专栏和环保公益广告</w:t>
            </w:r>
          </w:p>
        </w:tc>
        <w:tc>
          <w:tcPr>
            <w:tcW w:w="35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陈家桥全村</w:t>
            </w:r>
          </w:p>
        </w:tc>
        <w:tc>
          <w:tcPr>
            <w:tcW w:w="259"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续建</w:t>
            </w:r>
          </w:p>
        </w:tc>
        <w:tc>
          <w:tcPr>
            <w:tcW w:w="325"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2021-2025</w:t>
            </w:r>
          </w:p>
        </w:tc>
        <w:tc>
          <w:tcPr>
            <w:tcW w:w="26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10" w:type="pct"/>
            <w:gridSpan w:val="2"/>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合计</w:t>
            </w:r>
          </w:p>
        </w:tc>
        <w:tc>
          <w:tcPr>
            <w:tcW w:w="2986"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p>
        </w:tc>
        <w:tc>
          <w:tcPr>
            <w:tcW w:w="35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p>
        </w:tc>
        <w:tc>
          <w:tcPr>
            <w:tcW w:w="259"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p>
        </w:tc>
        <w:tc>
          <w:tcPr>
            <w:tcW w:w="325"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仿宋"/>
                <w:sz w:val="24"/>
                <w:szCs w:val="24"/>
                <w:vertAlign w:val="baseline"/>
                <w:lang w:val="en-US" w:eastAsia="zh-CN"/>
              </w:rPr>
            </w:pPr>
          </w:p>
        </w:tc>
        <w:tc>
          <w:tcPr>
            <w:tcW w:w="264" w:type="pc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3630</w:t>
            </w:r>
          </w:p>
        </w:tc>
      </w:tr>
    </w:tbl>
    <w:p>
      <w:pPr>
        <w:rPr>
          <w:rFonts w:hint="default"/>
          <w:lang w:val="en-US" w:eastAsia="zh-CN"/>
        </w:rPr>
      </w:pPr>
      <w:r>
        <w:rPr>
          <w:rFonts w:hint="default"/>
          <w:lang w:val="en-US" w:eastAsia="zh-CN"/>
        </w:rPr>
        <w:br w:type="page"/>
      </w:r>
    </w:p>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lang w:val="en-US" w:eastAsia="zh-CN"/>
        </w:rPr>
      </w:pPr>
      <w:r>
        <w:rPr>
          <w:rFonts w:hint="default"/>
          <w:lang w:val="en-US" w:eastAsia="zh-CN"/>
        </w:rPr>
        <w:drawing>
          <wp:inline distT="0" distB="0" distL="114300" distR="114300">
            <wp:extent cx="8970645" cy="4676775"/>
            <wp:effectExtent l="0" t="0" r="1905" b="9525"/>
            <wp:docPr id="6" name="图片 6" descr="fbb73767629eb57470cec7215c38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bb73767629eb57470cec7215c38112"/>
                    <pic:cNvPicPr>
                      <a:picLocks noChangeAspect="1"/>
                    </pic:cNvPicPr>
                  </pic:nvPicPr>
                  <pic:blipFill>
                    <a:blip r:embed="rId7"/>
                    <a:stretch>
                      <a:fillRect/>
                    </a:stretch>
                  </pic:blipFill>
                  <pic:spPr>
                    <a:xfrm>
                      <a:off x="0" y="0"/>
                      <a:ext cx="8970645" cy="467677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ascii="仿宋" w:hAnsi="仿宋" w:eastAsia="仿宋" w:cs="仿宋"/>
          <w:b/>
          <w:bCs/>
          <w:sz w:val="28"/>
          <w:szCs w:val="22"/>
          <w:highlight w:val="none"/>
          <w:lang w:val="en-US" w:eastAsia="zh-CN"/>
        </w:rPr>
      </w:pPr>
      <w:bookmarkStart w:id="128" w:name="_Toc15689"/>
      <w:bookmarkStart w:id="129" w:name="_Toc5480"/>
      <w:bookmarkStart w:id="130" w:name="_Toc5392"/>
      <w:r>
        <w:rPr>
          <w:rFonts w:hint="eastAsia" w:ascii="仿宋" w:hAnsi="仿宋" w:eastAsia="仿宋" w:cs="仿宋"/>
          <w:b/>
          <w:bCs/>
          <w:sz w:val="28"/>
          <w:szCs w:val="22"/>
          <w:highlight w:val="none"/>
          <w:lang w:val="en-US" w:eastAsia="zh-CN"/>
        </w:rPr>
        <w:t>附图1  区位分析图</w:t>
      </w:r>
      <w:bookmarkEnd w:id="128"/>
      <w:bookmarkEnd w:id="129"/>
      <w:bookmarkEnd w:id="130"/>
    </w:p>
    <w:p>
      <w:pPr>
        <w:rPr>
          <w:rFonts w:hint="eastAsia"/>
          <w:b/>
          <w:bCs/>
          <w:sz w:val="28"/>
          <w:szCs w:val="22"/>
          <w:lang w:val="en-US" w:eastAsia="zh-CN"/>
        </w:rPr>
      </w:pPr>
      <w:r>
        <w:rPr>
          <w:rFonts w:hint="eastAsia"/>
          <w:b/>
          <w:bCs/>
          <w:sz w:val="28"/>
          <w:szCs w:val="22"/>
          <w:lang w:val="en-US" w:eastAsia="zh-CN"/>
        </w:rPr>
        <w:br w:type="page"/>
      </w:r>
    </w:p>
    <w:p>
      <w:pPr>
        <w:rPr>
          <w:rFonts w:hint="default"/>
          <w:b/>
          <w:bCs/>
          <w:sz w:val="28"/>
          <w:szCs w:val="22"/>
          <w:lang w:val="en-US" w:eastAsia="zh-CN"/>
        </w:rPr>
      </w:pPr>
      <w:r>
        <w:rPr>
          <w:rFonts w:hint="default"/>
          <w:b/>
          <w:bCs/>
          <w:sz w:val="28"/>
          <w:szCs w:val="22"/>
          <w:lang w:val="en-US" w:eastAsia="zh-CN"/>
        </w:rPr>
        <w:drawing>
          <wp:inline distT="0" distB="0" distL="114300" distR="114300">
            <wp:extent cx="8606155" cy="4584700"/>
            <wp:effectExtent l="0" t="0" r="4445" b="6350"/>
            <wp:docPr id="4" name="图片 4" descr="空间201013366158787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空间201013366158787717"/>
                    <pic:cNvPicPr>
                      <a:picLocks noChangeAspect="1"/>
                    </pic:cNvPicPr>
                  </pic:nvPicPr>
                  <pic:blipFill>
                    <a:blip r:embed="rId8"/>
                    <a:stretch>
                      <a:fillRect/>
                    </a:stretch>
                  </pic:blipFill>
                  <pic:spPr>
                    <a:xfrm>
                      <a:off x="0" y="0"/>
                      <a:ext cx="8606155" cy="4584700"/>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b/>
          <w:bCs/>
          <w:sz w:val="28"/>
          <w:szCs w:val="22"/>
          <w:lang w:val="en-US" w:eastAsia="zh-CN"/>
        </w:rPr>
      </w:pPr>
      <w:bookmarkStart w:id="131" w:name="_Toc27167"/>
      <w:bookmarkStart w:id="132" w:name="_Toc6810"/>
      <w:bookmarkStart w:id="133" w:name="_Toc16566"/>
      <w:r>
        <w:rPr>
          <w:rFonts w:hint="eastAsia"/>
          <w:b/>
          <w:bCs/>
          <w:sz w:val="28"/>
          <w:szCs w:val="22"/>
          <w:lang w:val="en-US" w:eastAsia="zh-CN"/>
        </w:rPr>
        <w:t>附图2  村域空间管制规划图</w:t>
      </w:r>
      <w:bookmarkEnd w:id="131"/>
      <w:bookmarkEnd w:id="132"/>
      <w:bookmarkEnd w:id="133"/>
    </w:p>
    <w:p>
      <w:pPr>
        <w:rPr>
          <w:rFonts w:hint="default"/>
          <w:b/>
          <w:bCs/>
          <w:sz w:val="28"/>
          <w:szCs w:val="22"/>
          <w:lang w:val="en-US" w:eastAsia="zh-CN"/>
        </w:rPr>
      </w:pPr>
      <w:r>
        <w:rPr>
          <w:rFonts w:hint="default"/>
          <w:b/>
          <w:bCs/>
          <w:sz w:val="28"/>
          <w:szCs w:val="22"/>
          <w:lang w:val="en-US" w:eastAsia="zh-CN"/>
        </w:rPr>
        <w:br w:type="page"/>
      </w:r>
    </w:p>
    <w:p>
      <w:pPr>
        <w:pStyle w:val="2"/>
        <w:spacing w:line="240" w:lineRule="auto"/>
        <w:jc w:val="center"/>
        <w:rPr>
          <w:rFonts w:hint="default"/>
          <w:b/>
          <w:bCs/>
          <w:sz w:val="28"/>
          <w:szCs w:val="22"/>
          <w:lang w:val="en-US" w:eastAsia="zh-CN"/>
        </w:rPr>
      </w:pPr>
      <w:r>
        <w:rPr>
          <w:rFonts w:hint="default"/>
          <w:b/>
          <w:bCs/>
          <w:sz w:val="28"/>
          <w:szCs w:val="22"/>
          <w:lang w:val="en-US" w:eastAsia="zh-CN"/>
        </w:rPr>
        <w:drawing>
          <wp:inline distT="0" distB="0" distL="114300" distR="114300">
            <wp:extent cx="8130540" cy="4498975"/>
            <wp:effectExtent l="0" t="0" r="3810" b="15875"/>
            <wp:docPr id="2" name="图片 2" descr="土地01013366157189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土地01013366157189156"/>
                    <pic:cNvPicPr>
                      <a:picLocks noChangeAspect="1"/>
                    </pic:cNvPicPr>
                  </pic:nvPicPr>
                  <pic:blipFill>
                    <a:blip r:embed="rId9"/>
                    <a:stretch>
                      <a:fillRect/>
                    </a:stretch>
                  </pic:blipFill>
                  <pic:spPr>
                    <a:xfrm>
                      <a:off x="0" y="0"/>
                      <a:ext cx="8130540" cy="449897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default"/>
          <w:b/>
          <w:bCs/>
          <w:sz w:val="28"/>
          <w:szCs w:val="22"/>
          <w:lang w:val="en-US" w:eastAsia="zh-CN"/>
        </w:rPr>
      </w:pPr>
      <w:bookmarkStart w:id="134" w:name="_Toc10648"/>
      <w:bookmarkStart w:id="135" w:name="_Toc18386"/>
      <w:bookmarkStart w:id="136" w:name="_Toc896"/>
      <w:r>
        <w:rPr>
          <w:rFonts w:hint="eastAsia"/>
          <w:b/>
          <w:bCs/>
          <w:sz w:val="28"/>
          <w:szCs w:val="22"/>
          <w:lang w:val="en-US" w:eastAsia="zh-CN"/>
        </w:rPr>
        <w:t>附图3  村域土地利用规划图</w:t>
      </w:r>
      <w:r>
        <w:rPr>
          <w:rFonts w:hint="default"/>
          <w:b/>
          <w:bCs/>
          <w:sz w:val="28"/>
          <w:szCs w:val="22"/>
          <w:lang w:val="en-US" w:eastAsia="zh-CN"/>
        </w:rPr>
        <w:br w:type="page"/>
      </w:r>
      <w:r>
        <w:rPr>
          <w:rFonts w:hint="default"/>
          <w:b/>
          <w:bCs/>
          <w:sz w:val="28"/>
          <w:szCs w:val="22"/>
          <w:lang w:val="en-US" w:eastAsia="zh-CN"/>
        </w:rPr>
        <w:drawing>
          <wp:inline distT="0" distB="0" distL="114300" distR="114300">
            <wp:extent cx="8710930" cy="4690745"/>
            <wp:effectExtent l="0" t="0" r="13970" b="14605"/>
            <wp:docPr id="5" name="图片 5" descr="W020201013366161799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020201013366161799353"/>
                    <pic:cNvPicPr>
                      <a:picLocks noChangeAspect="1"/>
                    </pic:cNvPicPr>
                  </pic:nvPicPr>
                  <pic:blipFill>
                    <a:blip r:embed="rId10"/>
                    <a:stretch>
                      <a:fillRect/>
                    </a:stretch>
                  </pic:blipFill>
                  <pic:spPr>
                    <a:xfrm>
                      <a:off x="0" y="0"/>
                      <a:ext cx="8710930" cy="4690745"/>
                    </a:xfrm>
                    <a:prstGeom prst="rect">
                      <a:avLst/>
                    </a:prstGeom>
                  </pic:spPr>
                </pic:pic>
              </a:graphicData>
            </a:graphic>
          </wp:inline>
        </w:drawing>
      </w:r>
      <w:bookmarkEnd w:id="134"/>
      <w:bookmarkEnd w:id="135"/>
      <w:bookmarkEnd w:id="136"/>
    </w:p>
    <w:p>
      <w:pPr>
        <w:keepNext w:val="0"/>
        <w:keepLines w:val="0"/>
        <w:pageBreakBefore w:val="0"/>
        <w:widowControl w:val="0"/>
        <w:kinsoku/>
        <w:wordWrap/>
        <w:overflowPunct/>
        <w:topLinePunct w:val="0"/>
        <w:autoSpaceDE/>
        <w:autoSpaceDN/>
        <w:bidi w:val="0"/>
        <w:adjustRightInd/>
        <w:snapToGrid/>
        <w:jc w:val="center"/>
        <w:textAlignment w:val="auto"/>
        <w:outlineLvl w:val="0"/>
        <w:rPr>
          <w:rFonts w:hint="default"/>
          <w:b/>
          <w:bCs/>
          <w:sz w:val="28"/>
          <w:szCs w:val="22"/>
          <w:lang w:val="en-US" w:eastAsia="zh-CN"/>
        </w:rPr>
      </w:pPr>
      <w:bookmarkStart w:id="137" w:name="_Toc16366"/>
      <w:bookmarkStart w:id="138" w:name="_Toc5639"/>
      <w:bookmarkStart w:id="139" w:name="_Toc15551"/>
      <w:r>
        <w:rPr>
          <w:rFonts w:hint="eastAsia" w:ascii="仿宋_GB2312" w:eastAsia="仿宋_GB2312" w:cs="Times New Roman" w:hAnsiTheme="minorHAnsi"/>
          <w:b/>
          <w:bCs/>
          <w:kern w:val="2"/>
          <w:sz w:val="28"/>
          <w:szCs w:val="22"/>
          <w:lang w:val="en-US" w:eastAsia="zh-CN" w:bidi="ar-SA"/>
        </w:rPr>
        <w:t>附图4  村域产业布局规划图</w:t>
      </w:r>
      <w:r>
        <w:rPr>
          <w:rFonts w:hint="default"/>
          <w:b/>
          <w:bCs/>
          <w:sz w:val="28"/>
          <w:szCs w:val="22"/>
          <w:lang w:val="en-US" w:eastAsia="zh-CN"/>
        </w:rPr>
        <w:br w:type="page"/>
      </w:r>
      <w:bookmarkEnd w:id="137"/>
      <w:bookmarkEnd w:id="138"/>
      <w:bookmarkEnd w:id="139"/>
    </w:p>
    <w:p>
      <w:pPr>
        <w:pStyle w:val="2"/>
        <w:spacing w:line="240" w:lineRule="auto"/>
        <w:jc w:val="center"/>
        <w:rPr>
          <w:rFonts w:hint="default"/>
          <w:b/>
          <w:bCs/>
          <w:sz w:val="28"/>
          <w:szCs w:val="22"/>
          <w:lang w:val="en-US" w:eastAsia="zh-CN"/>
        </w:rPr>
      </w:pPr>
      <w:r>
        <w:rPr>
          <w:rFonts w:hint="default"/>
          <w:b/>
          <w:bCs/>
          <w:sz w:val="28"/>
          <w:szCs w:val="22"/>
          <w:lang w:val="en-US" w:eastAsia="zh-CN"/>
        </w:rPr>
        <w:drawing>
          <wp:inline distT="0" distB="0" distL="114300" distR="114300">
            <wp:extent cx="8349615" cy="4671695"/>
            <wp:effectExtent l="0" t="0" r="13335" b="14605"/>
            <wp:docPr id="3" name="图片 3" descr="综合01013366160353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综合01013366160353458"/>
                    <pic:cNvPicPr>
                      <a:picLocks noChangeAspect="1"/>
                    </pic:cNvPicPr>
                  </pic:nvPicPr>
                  <pic:blipFill>
                    <a:blip r:embed="rId11"/>
                    <a:stretch>
                      <a:fillRect/>
                    </a:stretch>
                  </pic:blipFill>
                  <pic:spPr>
                    <a:xfrm>
                      <a:off x="0" y="0"/>
                      <a:ext cx="8349615" cy="467169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hint="eastAsia"/>
          <w:b/>
          <w:bCs/>
          <w:sz w:val="28"/>
          <w:szCs w:val="22"/>
          <w:lang w:val="en-US" w:eastAsia="zh-CN"/>
        </w:rPr>
      </w:pPr>
      <w:bookmarkStart w:id="140" w:name="_Toc31162"/>
      <w:bookmarkStart w:id="141" w:name="_Toc12104"/>
      <w:bookmarkStart w:id="142" w:name="_Toc14897"/>
      <w:r>
        <w:rPr>
          <w:rFonts w:hint="eastAsia"/>
          <w:b/>
          <w:bCs/>
          <w:sz w:val="28"/>
          <w:szCs w:val="22"/>
          <w:lang w:val="en-US" w:eastAsia="zh-CN"/>
        </w:rPr>
        <w:t>附图5  村域综合规划图</w:t>
      </w:r>
      <w:bookmarkEnd w:id="140"/>
      <w:bookmarkEnd w:id="141"/>
      <w:bookmarkEnd w:id="142"/>
    </w:p>
    <w:p>
      <w:pPr>
        <w:rPr>
          <w:rFonts w:hint="eastAsia"/>
          <w:b/>
          <w:bCs/>
          <w:sz w:val="28"/>
          <w:szCs w:val="22"/>
          <w:lang w:val="en-US" w:eastAsia="zh-CN"/>
        </w:rPr>
        <w:sectPr>
          <w:pgSz w:w="16838" w:h="11906" w:orient="landscape"/>
          <w:pgMar w:top="1800" w:right="1440" w:bottom="1800" w:left="1440" w:header="851" w:footer="992" w:gutter="0"/>
          <w:pgNumType w:fmt="decimal"/>
          <w:cols w:space="425" w:num="1"/>
          <w:docGrid w:type="lines" w:linePitch="312" w:charSpace="0"/>
        </w:sectPr>
      </w:pP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outlineLvl w:val="0"/>
        <w:rPr>
          <w:rFonts w:hint="default"/>
          <w:b/>
          <w:bCs/>
          <w:sz w:val="28"/>
          <w:szCs w:val="22"/>
          <w:lang w:val="en-US" w:eastAsia="zh-CN"/>
        </w:rPr>
      </w:pPr>
      <w:bookmarkStart w:id="143" w:name="_Toc14551"/>
      <w:bookmarkStart w:id="144" w:name="_Toc15853"/>
      <w:r>
        <w:rPr>
          <w:rFonts w:hint="eastAsia"/>
          <w:b/>
          <w:bCs/>
          <w:sz w:val="28"/>
          <w:szCs w:val="22"/>
          <w:lang w:val="en-US" w:eastAsia="zh-CN"/>
        </w:rPr>
        <w:t>附图6 陈家桥村现场踏勘图</w:t>
      </w:r>
      <w:bookmarkEnd w:id="143"/>
      <w:bookmarkEnd w:id="144"/>
    </w:p>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default"/>
          <w:b/>
          <w:bCs/>
          <w:sz w:val="28"/>
          <w:szCs w:val="22"/>
          <w:lang w:val="en-US" w:eastAsia="zh-CN"/>
        </w:rPr>
      </w:pPr>
      <w:r>
        <w:rPr>
          <w:rFonts w:hint="default"/>
          <w:b/>
          <w:bCs/>
          <w:sz w:val="28"/>
          <w:szCs w:val="22"/>
          <w:lang w:val="en-US" w:eastAsia="zh-CN"/>
        </w:rPr>
        <w:drawing>
          <wp:inline distT="0" distB="0" distL="114300" distR="114300">
            <wp:extent cx="2612390" cy="3540125"/>
            <wp:effectExtent l="0" t="0" r="16510" b="3175"/>
            <wp:docPr id="9" name="图片 9" descr="485777ef5aa73af3a356a7d372d3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485777ef5aa73af3a356a7d372d3230"/>
                    <pic:cNvPicPr>
                      <a:picLocks noChangeAspect="1"/>
                    </pic:cNvPicPr>
                  </pic:nvPicPr>
                  <pic:blipFill>
                    <a:blip r:embed="rId12"/>
                    <a:stretch>
                      <a:fillRect/>
                    </a:stretch>
                  </pic:blipFill>
                  <pic:spPr>
                    <a:xfrm>
                      <a:off x="0" y="0"/>
                      <a:ext cx="2612390" cy="3540125"/>
                    </a:xfrm>
                    <a:prstGeom prst="rect">
                      <a:avLst/>
                    </a:prstGeom>
                  </pic:spPr>
                </pic:pic>
              </a:graphicData>
            </a:graphic>
          </wp:inline>
        </w:drawing>
      </w:r>
      <w:r>
        <w:rPr>
          <w:rFonts w:hint="default"/>
          <w:b/>
          <w:bCs/>
          <w:sz w:val="28"/>
          <w:szCs w:val="22"/>
          <w:lang w:val="en-US" w:eastAsia="zh-CN"/>
        </w:rPr>
        <w:drawing>
          <wp:inline distT="0" distB="0" distL="114300" distR="114300">
            <wp:extent cx="2514600" cy="3512185"/>
            <wp:effectExtent l="0" t="0" r="0" b="12065"/>
            <wp:docPr id="10" name="图片 10" descr="c76f6ce029c81e7afdff3a1dc973d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76f6ce029c81e7afdff3a1dc973de3"/>
                    <pic:cNvPicPr>
                      <a:picLocks noChangeAspect="1"/>
                    </pic:cNvPicPr>
                  </pic:nvPicPr>
                  <pic:blipFill>
                    <a:blip r:embed="rId13"/>
                    <a:stretch>
                      <a:fillRect/>
                    </a:stretch>
                  </pic:blipFill>
                  <pic:spPr>
                    <a:xfrm>
                      <a:off x="0" y="0"/>
                      <a:ext cx="2514600" cy="351218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b/>
          <w:bCs/>
          <w:sz w:val="28"/>
          <w:szCs w:val="22"/>
          <w:lang w:val="en-US" w:eastAsia="zh-CN"/>
        </w:rPr>
      </w:pPr>
      <w:r>
        <w:rPr>
          <w:rFonts w:hint="eastAsia"/>
          <w:b/>
          <w:bCs/>
          <w:sz w:val="28"/>
          <w:szCs w:val="22"/>
          <w:lang w:val="en-US" w:eastAsia="zh-CN"/>
        </w:rPr>
        <w:t>科普基地              污水处理设施</w:t>
      </w:r>
    </w:p>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outlineLvl w:val="9"/>
        <w:rPr>
          <w:rFonts w:hint="default"/>
          <w:b/>
          <w:bCs/>
          <w:sz w:val="28"/>
          <w:szCs w:val="22"/>
          <w:lang w:val="en-US" w:eastAsia="zh-CN"/>
        </w:rPr>
      </w:pPr>
      <w:r>
        <w:rPr>
          <w:rFonts w:hint="default"/>
          <w:b/>
          <w:bCs/>
          <w:sz w:val="28"/>
          <w:szCs w:val="22"/>
          <w:lang w:val="en-US" w:eastAsia="zh-CN"/>
        </w:rPr>
        <w:drawing>
          <wp:inline distT="0" distB="0" distL="114300" distR="114300">
            <wp:extent cx="2600325" cy="3235960"/>
            <wp:effectExtent l="0" t="0" r="9525" b="2540"/>
            <wp:docPr id="11" name="图片 11" descr="2af202ecebb4696807c7c75d4ab3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af202ecebb4696807c7c75d4ab3264"/>
                    <pic:cNvPicPr>
                      <a:picLocks noChangeAspect="1"/>
                    </pic:cNvPicPr>
                  </pic:nvPicPr>
                  <pic:blipFill>
                    <a:blip r:embed="rId14"/>
                    <a:stretch>
                      <a:fillRect/>
                    </a:stretch>
                  </pic:blipFill>
                  <pic:spPr>
                    <a:xfrm>
                      <a:off x="0" y="0"/>
                      <a:ext cx="2600325" cy="3235960"/>
                    </a:xfrm>
                    <a:prstGeom prst="rect">
                      <a:avLst/>
                    </a:prstGeom>
                  </pic:spPr>
                </pic:pic>
              </a:graphicData>
            </a:graphic>
          </wp:inline>
        </w:drawing>
      </w:r>
      <w:r>
        <w:rPr>
          <w:rFonts w:hint="default"/>
          <w:b/>
          <w:bCs/>
          <w:sz w:val="28"/>
          <w:szCs w:val="22"/>
          <w:lang w:val="en-US" w:eastAsia="zh-CN"/>
        </w:rPr>
        <w:drawing>
          <wp:inline distT="0" distB="0" distL="114300" distR="114300">
            <wp:extent cx="2647950" cy="3225800"/>
            <wp:effectExtent l="0" t="0" r="0" b="12700"/>
            <wp:docPr id="12" name="图片 12" descr="39d048762cca65abc1bc7cc7c46f2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9d048762cca65abc1bc7cc7c46f26b"/>
                    <pic:cNvPicPr>
                      <a:picLocks noChangeAspect="1"/>
                    </pic:cNvPicPr>
                  </pic:nvPicPr>
                  <pic:blipFill>
                    <a:blip r:embed="rId15"/>
                    <a:stretch>
                      <a:fillRect/>
                    </a:stretch>
                  </pic:blipFill>
                  <pic:spPr>
                    <a:xfrm>
                      <a:off x="0" y="0"/>
                      <a:ext cx="2647950" cy="3225800"/>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default"/>
          <w:b/>
          <w:bCs/>
          <w:sz w:val="28"/>
          <w:szCs w:val="22"/>
          <w:lang w:val="en-US" w:eastAsia="zh-CN"/>
        </w:rPr>
      </w:pPr>
      <w:r>
        <w:rPr>
          <w:rFonts w:hint="eastAsia"/>
          <w:b/>
          <w:bCs/>
          <w:sz w:val="28"/>
          <w:szCs w:val="22"/>
          <w:lang w:val="en-US" w:eastAsia="zh-CN"/>
        </w:rPr>
        <w:t>公共厕所            文明实践广场</w:t>
      </w:r>
    </w:p>
    <w:p/>
    <w:sectPr>
      <w:type w:val="continuous"/>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4CB3C81"/>
    <w:rsid w:val="096103DD"/>
    <w:rsid w:val="0ACF5FE6"/>
    <w:rsid w:val="0BE33BAE"/>
    <w:rsid w:val="0BFB0F82"/>
    <w:rsid w:val="0C8363E2"/>
    <w:rsid w:val="1F21740A"/>
    <w:rsid w:val="1F8404C7"/>
    <w:rsid w:val="22E0113C"/>
    <w:rsid w:val="23514ECB"/>
    <w:rsid w:val="2BE024C1"/>
    <w:rsid w:val="2F887535"/>
    <w:rsid w:val="334920D8"/>
    <w:rsid w:val="35AF433E"/>
    <w:rsid w:val="36C81BE4"/>
    <w:rsid w:val="42A203FE"/>
    <w:rsid w:val="45967B5D"/>
    <w:rsid w:val="54246EBA"/>
    <w:rsid w:val="54A37509"/>
    <w:rsid w:val="56646FF0"/>
    <w:rsid w:val="582F0856"/>
    <w:rsid w:val="5F1D7A6C"/>
    <w:rsid w:val="6F954B45"/>
    <w:rsid w:val="725D03D1"/>
    <w:rsid w:val="727220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0"/>
    <w:pPr>
      <w:keepNext/>
      <w:keepLines/>
      <w:adjustRightInd w:val="0"/>
      <w:snapToGrid w:val="0"/>
      <w:spacing w:before="50" w:beforeLines="50"/>
      <w:ind w:firstLine="0" w:firstLineChars="0"/>
      <w:outlineLvl w:val="1"/>
    </w:pPr>
    <w:rPr>
      <w:rFonts w:eastAsia="黑体"/>
      <w:bCs/>
      <w:kern w:val="0"/>
      <w:sz w:val="30"/>
      <w:szCs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0" w:line="660" w:lineRule="exact"/>
      <w:ind w:left="0" w:leftChars="0" w:firstLine="420" w:firstLineChars="200"/>
    </w:pPr>
    <w:rPr>
      <w:rFonts w:ascii="仿宋_GB2312" w:eastAsia="仿宋_GB2312" w:cs="Times New Roman"/>
      <w:sz w:val="32"/>
    </w:rPr>
  </w:style>
  <w:style w:type="paragraph" w:styleId="3">
    <w:name w:val="Body Text Indent"/>
    <w:basedOn w:val="1"/>
    <w:qFormat/>
    <w:uiPriority w:val="0"/>
    <w:pPr>
      <w:spacing w:after="120"/>
      <w:ind w:left="420" w:leftChars="200"/>
    </w:pPr>
  </w:style>
  <w:style w:type="paragraph" w:styleId="5">
    <w:name w:val="Normal Indent"/>
    <w:basedOn w:val="1"/>
    <w:qFormat/>
    <w:uiPriority w:val="0"/>
    <w:pPr>
      <w:spacing w:line="360" w:lineRule="auto"/>
      <w:ind w:firstLine="200" w:firstLineChars="200"/>
    </w:pPr>
    <w:rPr>
      <w:sz w:val="24"/>
      <w:szCs w:val="24"/>
    </w:rPr>
  </w:style>
  <w:style w:type="paragraph" w:styleId="6">
    <w:name w:val="annotation text"/>
    <w:basedOn w:val="1"/>
    <w:qFormat/>
    <w:uiPriority w:val="0"/>
    <w:pPr>
      <w:jc w:val="left"/>
    </w:pPr>
  </w:style>
  <w:style w:type="paragraph" w:styleId="7">
    <w:name w:val="toc 3"/>
    <w:basedOn w:val="1"/>
    <w:next w:val="1"/>
    <w:qFormat/>
    <w:uiPriority w:val="0"/>
    <w:pPr>
      <w:ind w:left="840" w:leftChars="4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qFormat/>
    <w:uiPriority w:val="0"/>
    <w:rPr>
      <w:color w:val="333333"/>
      <w:u w:val="none"/>
    </w:rPr>
  </w:style>
  <w:style w:type="character" w:styleId="17">
    <w:name w:val="Emphasis"/>
    <w:basedOn w:val="15"/>
    <w:qFormat/>
    <w:uiPriority w:val="0"/>
  </w:style>
  <w:style w:type="character" w:styleId="18">
    <w:name w:val="HTML Definition"/>
    <w:basedOn w:val="15"/>
    <w:qFormat/>
    <w:uiPriority w:val="0"/>
  </w:style>
  <w:style w:type="character" w:styleId="19">
    <w:name w:val="HTML Variable"/>
    <w:basedOn w:val="15"/>
    <w:qFormat/>
    <w:uiPriority w:val="0"/>
  </w:style>
  <w:style w:type="character" w:styleId="20">
    <w:name w:val="Hyperlink"/>
    <w:basedOn w:val="15"/>
    <w:qFormat/>
    <w:uiPriority w:val="0"/>
    <w:rPr>
      <w:color w:val="333333"/>
      <w:u w:val="none"/>
    </w:rPr>
  </w:style>
  <w:style w:type="character" w:styleId="21">
    <w:name w:val="HTML Code"/>
    <w:basedOn w:val="15"/>
    <w:qFormat/>
    <w:uiPriority w:val="0"/>
    <w:rPr>
      <w:rFonts w:hint="default" w:ascii="Courier New" w:hAnsi="Courier New" w:eastAsia="Courier New" w:cs="Courier New"/>
      <w:sz w:val="20"/>
    </w:rPr>
  </w:style>
  <w:style w:type="character" w:styleId="22">
    <w:name w:val="HTML Cite"/>
    <w:basedOn w:val="15"/>
    <w:qFormat/>
    <w:uiPriority w:val="0"/>
  </w:style>
  <w:style w:type="character" w:styleId="23">
    <w:name w:val="HTML Keyboard"/>
    <w:basedOn w:val="15"/>
    <w:qFormat/>
    <w:uiPriority w:val="0"/>
    <w:rPr>
      <w:rFonts w:ascii="Courier New" w:hAnsi="Courier New" w:eastAsia="Courier New" w:cs="Courier New"/>
      <w:sz w:val="20"/>
    </w:rPr>
  </w:style>
  <w:style w:type="character" w:styleId="24">
    <w:name w:val="HTML Sample"/>
    <w:basedOn w:val="15"/>
    <w:qFormat/>
    <w:uiPriority w:val="0"/>
    <w:rPr>
      <w:rFonts w:hint="default" w:ascii="Courier New" w:hAnsi="Courier New" w:eastAsia="Courier New" w:cs="Courier New"/>
    </w:rPr>
  </w:style>
  <w:style w:type="paragraph" w:customStyle="1" w:styleId="25">
    <w:name w:val="Table Paragraph"/>
    <w:basedOn w:val="1"/>
    <w:qFormat/>
    <w:uiPriority w:val="1"/>
    <w:rPr>
      <w:rFonts w:ascii="宋体" w:hAnsi="宋体" w:eastAsia="宋体" w:cs="宋体"/>
      <w:lang w:val="zh-CN" w:eastAsia="zh-CN" w:bidi="zh-CN"/>
    </w:rPr>
  </w:style>
  <w:style w:type="paragraph" w:customStyle="1" w:styleId="26">
    <w:name w:val="Default"/>
    <w:basedOn w:val="27"/>
    <w:next w:val="1"/>
    <w:unhideWhenUsed/>
    <w:qFormat/>
    <w:uiPriority w:val="99"/>
    <w:pPr>
      <w:widowControl w:val="0"/>
      <w:autoSpaceDE w:val="0"/>
      <w:autoSpaceDN w:val="0"/>
      <w:adjustRightInd w:val="0"/>
      <w:spacing w:beforeLines="0" w:afterLines="0"/>
    </w:pPr>
    <w:rPr>
      <w:rFonts w:hint="default" w:ascii="宋体" w:hAnsi="宋体" w:eastAsia="宋体" w:cs="Times New Roman"/>
      <w:color w:val="000000"/>
      <w:sz w:val="24"/>
      <w:szCs w:val="24"/>
    </w:rPr>
  </w:style>
  <w:style w:type="paragraph" w:customStyle="1" w:styleId="27">
    <w:name w:val="纯文本1"/>
    <w:basedOn w:val="1"/>
    <w:qFormat/>
    <w:uiPriority w:val="0"/>
    <w:rPr>
      <w:rFonts w:ascii="宋体" w:hAnsi="Courier New"/>
    </w:rPr>
  </w:style>
  <w:style w:type="paragraph" w:customStyle="1" w:styleId="28">
    <w:name w:val="WPSOffice手动目录 1"/>
    <w:qFormat/>
    <w:uiPriority w:val="0"/>
    <w:pPr>
      <w:ind w:leftChars="0"/>
    </w:pPr>
    <w:rPr>
      <w:rFonts w:ascii="Times New Roman" w:hAnsi="Times New Roman" w:eastAsia="宋体" w:cs="Times New Roman"/>
      <w:sz w:val="20"/>
      <w:szCs w:val="20"/>
    </w:rPr>
  </w:style>
  <w:style w:type="paragraph" w:customStyle="1" w:styleId="29">
    <w:name w:val="WPSOffice手动目录 2"/>
    <w:qFormat/>
    <w:uiPriority w:val="0"/>
    <w:pPr>
      <w:ind w:leftChars="200"/>
    </w:pPr>
    <w:rPr>
      <w:rFonts w:ascii="Times New Roman" w:hAnsi="Times New Roman" w:eastAsia="宋体" w:cs="Times New Roman"/>
      <w:sz w:val="20"/>
      <w:szCs w:val="20"/>
    </w:rPr>
  </w:style>
  <w:style w:type="character" w:customStyle="1" w:styleId="30">
    <w:name w:val="site-nav1span1"/>
    <w:basedOn w:val="15"/>
    <w:qFormat/>
    <w:uiPriority w:val="0"/>
  </w:style>
  <w:style w:type="character" w:customStyle="1" w:styleId="31">
    <w:name w:val="site-nav1span2"/>
    <w:basedOn w:val="15"/>
    <w:qFormat/>
    <w:uiPriority w:val="0"/>
  </w:style>
  <w:style w:type="character" w:customStyle="1" w:styleId="32">
    <w:name w:val="classnoe"/>
    <w:basedOn w:val="15"/>
    <w:qFormat/>
    <w:uiPriority w:val="0"/>
  </w:style>
  <w:style w:type="character" w:customStyle="1" w:styleId="33">
    <w:name w:val="class1"/>
    <w:basedOn w:val="15"/>
    <w:qFormat/>
    <w:uiPriority w:val="0"/>
    <w:rPr>
      <w:color w:val="FFFFFF"/>
      <w:shd w:val="clear" w:fill="066CB9"/>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2021-05-31T05:58:00Z</dcterms:created>
  <dc:creator>zd</dc:creator>
  <cp:lastModifiedBy>Administrator</cp:lastModifiedBy>
  <dcterms:modified xsi:type="dcterms:W3CDTF">2021-07-30T02:02:45Z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y fmtid="{D5CDD505-2E9C-101B-9397-08002B2CF9AE}" pid="3" name="ICV">
    <vt:lpwstr>340E20B1F5B941AFA00A007AB4D13918</vt:lpwstr>
  </property>
</Properties>
</file>