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2799"/>
        </w:tabs>
        <w:kinsoku/>
        <w:wordWrap/>
        <w:overflowPunct/>
        <w:topLinePunct w:val="0"/>
        <w:autoSpaceDE/>
        <w:autoSpaceDN/>
        <w:bidi w:val="0"/>
        <w:adjustRightInd w:val="0"/>
        <w:snapToGrid w:val="0"/>
        <w:spacing w:line="560" w:lineRule="exact"/>
        <w:ind w:firstLine="560" w:firstLineChars="200"/>
        <w:textAlignment w:val="auto"/>
        <w:rPr>
          <w:rFonts w:ascii="Times New Roman" w:hAnsi="Times New Roman" w:eastAsia="仿宋_GB2312"/>
          <w:sz w:val="28"/>
          <w:szCs w:val="28"/>
        </w:rPr>
      </w:pPr>
    </w:p>
    <w:p>
      <w:pPr>
        <w:keepNext w:val="0"/>
        <w:keepLines w:val="0"/>
        <w:pageBreakBefore w:val="0"/>
        <w:widowControl w:val="0"/>
        <w:tabs>
          <w:tab w:val="left" w:pos="2799"/>
        </w:tabs>
        <w:kinsoku/>
        <w:wordWrap/>
        <w:overflowPunct/>
        <w:topLinePunct w:val="0"/>
        <w:autoSpaceDE/>
        <w:autoSpaceDN/>
        <w:bidi w:val="0"/>
        <w:adjustRightInd w:val="0"/>
        <w:snapToGrid w:val="0"/>
        <w:spacing w:line="560" w:lineRule="exact"/>
        <w:ind w:firstLine="560" w:firstLineChars="200"/>
        <w:textAlignment w:val="auto"/>
        <w:rPr>
          <w:rFonts w:ascii="Times New Roman" w:hAnsi="Times New Roman" w:eastAsia="仿宋_GB2312"/>
          <w:sz w:val="28"/>
          <w:szCs w:val="28"/>
        </w:rPr>
      </w:pPr>
    </w:p>
    <w:p>
      <w:pPr>
        <w:keepNext w:val="0"/>
        <w:keepLines w:val="0"/>
        <w:pageBreakBefore w:val="0"/>
        <w:widowControl w:val="0"/>
        <w:tabs>
          <w:tab w:val="left" w:pos="2799"/>
        </w:tabs>
        <w:kinsoku/>
        <w:wordWrap/>
        <w:overflowPunct/>
        <w:topLinePunct w:val="0"/>
        <w:autoSpaceDE/>
        <w:autoSpaceDN/>
        <w:bidi w:val="0"/>
        <w:adjustRightInd w:val="0"/>
        <w:snapToGrid w:val="0"/>
        <w:spacing w:before="157" w:beforeLines="50" w:line="560" w:lineRule="exact"/>
        <w:ind w:firstLine="560" w:firstLineChars="200"/>
        <w:textAlignment w:val="auto"/>
        <w:rPr>
          <w:rFonts w:ascii="Times New Roman" w:hAnsi="Times New Roman" w:eastAsia="仿宋_GB2312"/>
          <w:sz w:val="28"/>
          <w:szCs w:val="28"/>
        </w:rPr>
      </w:pPr>
    </w:p>
    <w:p>
      <w:pPr>
        <w:pStyle w:val="8"/>
      </w:pPr>
    </w:p>
    <w:p>
      <w:pPr>
        <w:pStyle w:val="8"/>
        <w:keepNext w:val="0"/>
        <w:keepLines w:val="0"/>
        <w:pageBreakBefore w:val="0"/>
        <w:widowControl w:val="0"/>
        <w:kinsoku/>
        <w:wordWrap/>
        <w:overflowPunct/>
        <w:topLinePunct w:val="0"/>
        <w:autoSpaceDE/>
        <w:autoSpaceDN/>
        <w:bidi w:val="0"/>
        <w:adjustRightInd/>
        <w:snapToGrid/>
        <w:spacing w:beforeLines="0" w:after="0" w:line="520" w:lineRule="exact"/>
        <w:textAlignment w:val="auto"/>
      </w:pPr>
    </w:p>
    <w:p>
      <w:pPr>
        <w:keepNext w:val="0"/>
        <w:keepLines w:val="0"/>
        <w:pageBreakBefore w:val="0"/>
        <w:widowControl w:val="0"/>
        <w:tabs>
          <w:tab w:val="left" w:pos="2799"/>
        </w:tabs>
        <w:kinsoku/>
        <w:wordWrap/>
        <w:overflowPunct/>
        <w:topLinePunct w:val="0"/>
        <w:autoSpaceDE/>
        <w:autoSpaceDN/>
        <w:bidi w:val="0"/>
        <w:adjustRightInd w:val="0"/>
        <w:snapToGrid w:val="0"/>
        <w:spacing w:line="560" w:lineRule="exact"/>
        <w:ind w:firstLine="560" w:firstLineChars="200"/>
        <w:textAlignment w:val="auto"/>
        <w:rPr>
          <w:rFonts w:ascii="Times New Roman" w:hAnsi="Times New Roman" w:eastAsia="仿宋_GB2312"/>
          <w:sz w:val="28"/>
          <w:szCs w:val="28"/>
        </w:rPr>
      </w:pPr>
    </w:p>
    <w:p>
      <w:pPr>
        <w:keepNext w:val="0"/>
        <w:keepLines w:val="0"/>
        <w:pageBreakBefore w:val="0"/>
        <w:widowControl w:val="0"/>
        <w:tabs>
          <w:tab w:val="left" w:pos="2799"/>
        </w:tabs>
        <w:kinsoku/>
        <w:wordWrap/>
        <w:overflowPunct/>
        <w:topLinePunct w:val="0"/>
        <w:autoSpaceDE/>
        <w:autoSpaceDN/>
        <w:bidi w:val="0"/>
        <w:adjustRightInd w:val="0"/>
        <w:snapToGrid w:val="0"/>
        <w:spacing w:line="560" w:lineRule="exact"/>
        <w:textAlignment w:val="auto"/>
        <w:rPr>
          <w:rFonts w:ascii="Times New Roman" w:hAnsi="Times New Roman" w:eastAsia="仿宋_GB2312"/>
          <w:sz w:val="28"/>
          <w:szCs w:val="28"/>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仿宋"/>
          <w:sz w:val="32"/>
          <w:szCs w:val="32"/>
        </w:rPr>
      </w:pPr>
      <w:r>
        <w:rPr>
          <w:rFonts w:hint="eastAsia" w:ascii="Times New Roman" w:hAnsi="仿宋" w:eastAsia="仿宋"/>
          <w:sz w:val="32"/>
          <w:szCs w:val="32"/>
        </w:rPr>
        <w:t>坝发〔</w:t>
      </w:r>
      <w:r>
        <w:rPr>
          <w:rFonts w:ascii="Times New Roman" w:hAnsi="Times New Roman" w:eastAsia="仿宋"/>
          <w:sz w:val="32"/>
          <w:szCs w:val="32"/>
        </w:rPr>
        <w:t>202</w:t>
      </w:r>
      <w:r>
        <w:rPr>
          <w:rFonts w:hint="eastAsia" w:ascii="Times New Roman" w:hAnsi="Times New Roman" w:eastAsia="仿宋"/>
          <w:sz w:val="32"/>
          <w:szCs w:val="32"/>
          <w:lang w:val="en-US" w:eastAsia="zh-CN"/>
        </w:rPr>
        <w:t>4</w:t>
      </w:r>
      <w:r>
        <w:rPr>
          <w:rFonts w:hint="eastAsia" w:ascii="Times New Roman" w:hAnsi="仿宋" w:eastAsia="仿宋"/>
          <w:sz w:val="32"/>
          <w:szCs w:val="32"/>
        </w:rPr>
        <w:t>〕</w:t>
      </w:r>
      <w:r>
        <w:rPr>
          <w:rFonts w:hint="eastAsia" w:ascii="Times New Roman" w:hAnsi="仿宋" w:eastAsia="仿宋"/>
          <w:sz w:val="32"/>
          <w:szCs w:val="32"/>
          <w:lang w:val="en-US" w:eastAsia="zh-CN"/>
        </w:rPr>
        <w:t>1</w:t>
      </w:r>
      <w:r>
        <w:rPr>
          <w:rFonts w:hint="eastAsia" w:ascii="Times New Roman" w:hAnsi="仿宋" w:eastAsia="仿宋"/>
          <w:sz w:val="32"/>
          <w:szCs w:val="32"/>
        </w:rPr>
        <w:t>号</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left="-105" w:leftChars="-50" w:right="-105" w:rightChars="-50"/>
        <w:jc w:val="center"/>
        <w:textAlignment w:val="auto"/>
        <w:outlineLvl w:val="0"/>
        <w:rPr>
          <w:rFonts w:hint="eastAsia" w:ascii="Times New Roman" w:hAnsi="Times New Roman" w:eastAsia="方正小标宋简体"/>
          <w:kern w:val="36"/>
          <w:sz w:val="44"/>
          <w:szCs w:val="44"/>
        </w:rPr>
      </w:pP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left="-105" w:leftChars="-50" w:right="-105" w:rightChars="-50"/>
        <w:jc w:val="center"/>
        <w:textAlignment w:val="auto"/>
        <w:outlineLvl w:val="0"/>
        <w:rPr>
          <w:rFonts w:hint="eastAsia" w:ascii="Times New Roman" w:hAnsi="Times New Roman" w:eastAsia="方正小标宋简体"/>
          <w:kern w:val="36"/>
          <w:sz w:val="44"/>
          <w:szCs w:val="44"/>
        </w:rPr>
      </w:pP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left="-105" w:leftChars="-50" w:right="-105" w:rightChars="-50"/>
        <w:jc w:val="center"/>
        <w:textAlignment w:val="auto"/>
        <w:outlineLvl w:val="0"/>
        <w:rPr>
          <w:rFonts w:ascii="Times New Roman" w:hAnsi="Times New Roman" w:eastAsia="方正小标宋简体"/>
          <w:kern w:val="36"/>
          <w:sz w:val="44"/>
          <w:szCs w:val="44"/>
        </w:rPr>
      </w:pPr>
      <w:r>
        <w:rPr>
          <w:rFonts w:hint="eastAsia" w:ascii="Times New Roman" w:hAnsi="Times New Roman" w:eastAsia="方正小标宋简体"/>
          <w:kern w:val="36"/>
          <w:sz w:val="44"/>
          <w:szCs w:val="44"/>
        </w:rPr>
        <w:t>中共宁乡市坝塘镇委员会</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kern w:val="36"/>
          <w:sz w:val="44"/>
          <w:szCs w:val="44"/>
        </w:rPr>
      </w:pPr>
      <w:r>
        <w:rPr>
          <w:rFonts w:hint="eastAsia" w:ascii="Times New Roman" w:hAnsi="Times New Roman" w:eastAsia="方正小标宋简体"/>
          <w:kern w:val="36"/>
          <w:sz w:val="44"/>
          <w:szCs w:val="44"/>
        </w:rPr>
        <w:t>关于印发《坝塘镇“利剑护蕾·雷霆行动”</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方正小标宋简体"/>
          <w:kern w:val="36"/>
          <w:sz w:val="44"/>
          <w:szCs w:val="44"/>
        </w:rPr>
      </w:pPr>
      <w:r>
        <w:rPr>
          <w:rFonts w:hint="eastAsia" w:ascii="Times New Roman" w:hAnsi="Times New Roman" w:eastAsia="方正小标宋简体"/>
          <w:kern w:val="36"/>
          <w:sz w:val="44"/>
          <w:szCs w:val="44"/>
        </w:rPr>
        <w:t>实施方案》的通知</w:t>
      </w:r>
    </w:p>
    <w:p>
      <w:pPr>
        <w:keepNext w:val="0"/>
        <w:keepLines w:val="0"/>
        <w:pageBreakBefore w:val="0"/>
        <w:kinsoku/>
        <w:wordWrap/>
        <w:overflowPunct/>
        <w:topLinePunct w:val="0"/>
        <w:autoSpaceDE/>
        <w:autoSpaceDN/>
        <w:bidi w:val="0"/>
        <w:adjustRightInd w:val="0"/>
        <w:snapToGrid w:val="0"/>
        <w:spacing w:line="560" w:lineRule="exact"/>
        <w:ind w:right="-210" w:rightChars="-100"/>
        <w:textAlignment w:val="auto"/>
        <w:rPr>
          <w:rFonts w:hint="eastAsia" w:ascii="楷体_GB2312" w:hAnsi="Times New Roman" w:eastAsia="楷体_GB2312"/>
          <w:kern w:val="0"/>
          <w:sz w:val="32"/>
          <w:szCs w:val="32"/>
        </w:rPr>
      </w:pPr>
    </w:p>
    <w:p>
      <w:pPr>
        <w:keepNext w:val="0"/>
        <w:keepLines w:val="0"/>
        <w:pageBreakBefore w:val="0"/>
        <w:kinsoku/>
        <w:wordWrap/>
        <w:overflowPunct/>
        <w:topLinePunct w:val="0"/>
        <w:autoSpaceDE/>
        <w:autoSpaceDN/>
        <w:bidi w:val="0"/>
        <w:adjustRightInd w:val="0"/>
        <w:snapToGrid w:val="0"/>
        <w:spacing w:line="560" w:lineRule="exact"/>
        <w:ind w:right="-210" w:rightChars="-100"/>
        <w:textAlignment w:val="auto"/>
        <w:rPr>
          <w:rFonts w:ascii="楷体_GB2312" w:hAnsi="Times New Roman" w:eastAsia="楷体_GB2312"/>
          <w:color w:val="auto"/>
          <w:kern w:val="0"/>
          <w:sz w:val="32"/>
          <w:szCs w:val="32"/>
        </w:rPr>
      </w:pPr>
      <w:r>
        <w:rPr>
          <w:rFonts w:hint="eastAsia" w:ascii="楷体_GB2312" w:hAnsi="Times New Roman" w:eastAsia="楷体_GB2312"/>
          <w:color w:val="auto"/>
          <w:kern w:val="0"/>
          <w:sz w:val="32"/>
          <w:szCs w:val="32"/>
          <w:lang w:val="en-US" w:eastAsia="zh-CN"/>
        </w:rPr>
        <w:t>各线办、</w:t>
      </w:r>
      <w:r>
        <w:rPr>
          <w:rFonts w:hint="eastAsia" w:ascii="楷体_GB2312" w:hAnsi="Times New Roman" w:eastAsia="楷体_GB2312"/>
          <w:color w:val="auto"/>
          <w:kern w:val="0"/>
          <w:sz w:val="32"/>
          <w:szCs w:val="32"/>
        </w:rPr>
        <w:t>各村</w:t>
      </w:r>
      <w:r>
        <w:rPr>
          <w:rFonts w:hint="eastAsia" w:ascii="楷体_GB2312" w:hAnsi="Times New Roman" w:eastAsia="楷体_GB2312"/>
          <w:color w:val="auto"/>
          <w:kern w:val="0"/>
          <w:sz w:val="32"/>
          <w:szCs w:val="32"/>
          <w:lang w:eastAsia="zh-CN"/>
        </w:rPr>
        <w:t>（</w:t>
      </w:r>
      <w:r>
        <w:rPr>
          <w:rFonts w:hint="eastAsia" w:ascii="楷体_GB2312" w:hAnsi="Times New Roman" w:eastAsia="楷体_GB2312"/>
          <w:color w:val="auto"/>
          <w:kern w:val="0"/>
          <w:sz w:val="32"/>
          <w:szCs w:val="32"/>
        </w:rPr>
        <w:t>社区</w:t>
      </w:r>
      <w:r>
        <w:rPr>
          <w:rFonts w:hint="eastAsia" w:ascii="楷体_GB2312" w:hAnsi="Times New Roman" w:eastAsia="楷体_GB2312"/>
          <w:color w:val="auto"/>
          <w:kern w:val="0"/>
          <w:sz w:val="32"/>
          <w:szCs w:val="32"/>
          <w:lang w:eastAsia="zh-CN"/>
        </w:rPr>
        <w:t>）、</w:t>
      </w:r>
      <w:r>
        <w:rPr>
          <w:rFonts w:hint="eastAsia" w:ascii="楷体_GB2312" w:hAnsi="Times New Roman" w:eastAsia="楷体_GB2312"/>
          <w:color w:val="auto"/>
          <w:kern w:val="0"/>
          <w:sz w:val="32"/>
          <w:szCs w:val="32"/>
          <w:lang w:val="en-US" w:eastAsia="zh-CN"/>
        </w:rPr>
        <w:t>相关部门单位</w:t>
      </w:r>
      <w:r>
        <w:rPr>
          <w:rFonts w:hint="eastAsia" w:ascii="楷体_GB2312" w:hAnsi="Times New Roman" w:eastAsia="楷体_GB2312"/>
          <w:color w:val="auto"/>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right="-210" w:rightChars="-100" w:firstLine="640" w:firstLineChars="200"/>
        <w:textAlignment w:val="auto"/>
        <w:rPr>
          <w:rFonts w:hint="eastAsia" w:ascii="Times New Roman" w:hAnsi="Times New Roman" w:eastAsia="楷体_GB2312"/>
          <w:kern w:val="0"/>
          <w:sz w:val="32"/>
          <w:szCs w:val="32"/>
        </w:rPr>
      </w:pPr>
      <w:r>
        <w:rPr>
          <w:rFonts w:hint="eastAsia" w:ascii="Times New Roman" w:hAnsi="Times New Roman" w:eastAsia="楷体_GB2312"/>
          <w:kern w:val="0"/>
          <w:sz w:val="32"/>
          <w:szCs w:val="32"/>
        </w:rPr>
        <w:t>现</w:t>
      </w:r>
      <w:r>
        <w:rPr>
          <w:rFonts w:hint="default" w:ascii="Times New Roman" w:hAnsi="Times New Roman" w:eastAsia="楷体_GB2312" w:cs="Times New Roman"/>
          <w:kern w:val="0"/>
          <w:sz w:val="32"/>
          <w:szCs w:val="32"/>
        </w:rPr>
        <w:t>将《坝塘镇“利剑护蕾·雷霆行动”实施方案》印发</w:t>
      </w:r>
      <w:r>
        <w:rPr>
          <w:rFonts w:hint="default" w:ascii="Times New Roman" w:hAnsi="Times New Roman" w:eastAsia="楷体_GB2312" w:cs="Times New Roman"/>
          <w:kern w:val="0"/>
          <w:sz w:val="32"/>
          <w:szCs w:val="32"/>
          <w:lang w:val="en-US" w:eastAsia="zh-CN"/>
        </w:rPr>
        <w:t>给</w:t>
      </w:r>
      <w:r>
        <w:rPr>
          <w:rFonts w:hint="default" w:ascii="Times New Roman" w:hAnsi="Times New Roman" w:eastAsia="楷体_GB2312" w:cs="Times New Roman"/>
          <w:kern w:val="0"/>
          <w:sz w:val="32"/>
          <w:szCs w:val="32"/>
        </w:rPr>
        <w:t>你们，请认真遵照执行。</w:t>
      </w:r>
    </w:p>
    <w:p>
      <w:pPr>
        <w:pStyle w:val="8"/>
      </w:pP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jc w:val="center"/>
        <w:textAlignment w:val="auto"/>
        <w:outlineLvl w:val="0"/>
        <w:rPr>
          <w:rFonts w:ascii="Times New Roman" w:hAnsi="Times New Roman" w:eastAsia="楷体_GB2312"/>
          <w:kern w:val="36"/>
          <w:sz w:val="32"/>
          <w:szCs w:val="32"/>
        </w:rPr>
      </w:pPr>
      <w:r>
        <w:rPr>
          <w:rFonts w:ascii="Times New Roman" w:hAnsi="Times New Roman" w:eastAsia="楷体_GB2312"/>
          <w:kern w:val="36"/>
          <w:sz w:val="32"/>
          <w:szCs w:val="32"/>
        </w:rPr>
        <w:t xml:space="preserve">                        </w:t>
      </w:r>
      <w:r>
        <w:rPr>
          <w:rFonts w:ascii="Times New Roman" w:hAnsi="Times New Roman" w:eastAsia="楷体_GB2312"/>
          <w:kern w:val="36"/>
          <w:sz w:val="32"/>
          <w:szCs w:val="32"/>
        </w:rPr>
        <w:t xml:space="preserve"> </w:t>
      </w:r>
      <w:r>
        <w:rPr>
          <w:rFonts w:hint="eastAsia" w:ascii="Times New Roman" w:hAnsi="Times New Roman" w:eastAsia="楷体_GB2312"/>
          <w:kern w:val="36"/>
          <w:sz w:val="32"/>
          <w:szCs w:val="32"/>
        </w:rPr>
        <w:t>中共宁乡市坝塘镇委员会</w:t>
      </w:r>
    </w:p>
    <w:p>
      <w:pPr>
        <w:keepNext w:val="0"/>
        <w:keepLines w:val="0"/>
        <w:pageBreakBefore w:val="0"/>
        <w:widowControl w:val="0"/>
        <w:kinsoku/>
        <w:wordWrap/>
        <w:overflowPunct/>
        <w:topLinePunct w:val="0"/>
        <w:autoSpaceDE/>
        <w:autoSpaceDN/>
        <w:bidi w:val="0"/>
        <w:adjustRightInd w:val="0"/>
        <w:snapToGrid w:val="0"/>
        <w:spacing w:line="560" w:lineRule="exact"/>
        <w:ind w:firstLine="5280" w:firstLineChars="1650"/>
        <w:textAlignment w:val="auto"/>
        <w:rPr>
          <w:rFonts w:hint="default" w:ascii="Times New Roman" w:hAnsi="Times New Roman" w:eastAsia="楷体_GB2312"/>
          <w:kern w:val="36"/>
          <w:sz w:val="32"/>
          <w:szCs w:val="32"/>
          <w:lang w:val="en-US" w:eastAsia="zh-CN"/>
        </w:rPr>
      </w:pPr>
      <w:r>
        <w:rPr>
          <w:rFonts w:ascii="Times New Roman" w:hAnsi="Times New Roman" w:eastAsia="楷体_GB2312"/>
          <w:kern w:val="36"/>
          <w:sz w:val="32"/>
          <w:szCs w:val="32"/>
        </w:rPr>
        <w:t>202</w:t>
      </w:r>
      <w:r>
        <w:rPr>
          <w:rFonts w:hint="eastAsia" w:ascii="Times New Roman" w:hAnsi="Times New Roman" w:eastAsia="楷体_GB2312"/>
          <w:kern w:val="36"/>
          <w:sz w:val="32"/>
          <w:szCs w:val="32"/>
          <w:lang w:val="en-US" w:eastAsia="zh-CN"/>
        </w:rPr>
        <w:t>4</w:t>
      </w:r>
      <w:r>
        <w:rPr>
          <w:rFonts w:hint="eastAsia" w:ascii="Times New Roman" w:hAnsi="Times New Roman" w:eastAsia="楷体_GB2312"/>
          <w:kern w:val="36"/>
          <w:sz w:val="32"/>
          <w:szCs w:val="32"/>
        </w:rPr>
        <w:t>年</w:t>
      </w:r>
      <w:r>
        <w:rPr>
          <w:rFonts w:hint="eastAsia" w:ascii="Times New Roman" w:hAnsi="Times New Roman" w:eastAsia="楷体_GB2312"/>
          <w:kern w:val="36"/>
          <w:sz w:val="32"/>
          <w:szCs w:val="32"/>
          <w:lang w:val="en-US" w:eastAsia="zh-CN"/>
        </w:rPr>
        <w:t>1</w:t>
      </w:r>
      <w:r>
        <w:rPr>
          <w:rFonts w:hint="eastAsia" w:ascii="Times New Roman" w:hAnsi="Times New Roman" w:eastAsia="楷体_GB2312"/>
          <w:kern w:val="36"/>
          <w:sz w:val="32"/>
          <w:szCs w:val="32"/>
        </w:rPr>
        <w:t>月</w:t>
      </w:r>
      <w:r>
        <w:rPr>
          <w:rFonts w:hint="eastAsia" w:ascii="Times New Roman" w:hAnsi="Times New Roman" w:eastAsia="楷体_GB2312"/>
          <w:kern w:val="36"/>
          <w:sz w:val="32"/>
          <w:szCs w:val="32"/>
          <w:lang w:val="en-US" w:eastAsia="zh-CN"/>
        </w:rPr>
        <w:t>29</w:t>
      </w:r>
      <w:r>
        <w:rPr>
          <w:rFonts w:hint="eastAsia" w:ascii="Times New Roman" w:hAnsi="Times New Roman" w:eastAsia="楷体_GB2312"/>
          <w:kern w:val="36"/>
          <w:sz w:val="32"/>
          <w:szCs w:val="32"/>
        </w:rPr>
        <w:t>日</w:t>
      </w:r>
      <w:r>
        <w:rPr>
          <w:rFonts w:ascii="Times New Roman" w:hAnsi="Times New Roman" w:eastAsia="楷体_GB2312"/>
          <w:kern w:val="36"/>
          <w:sz w:val="32"/>
          <w:szCs w:val="32"/>
        </w:rPr>
        <w:t xml:space="preserve"> </w:t>
      </w:r>
      <w:r>
        <w:rPr>
          <w:rFonts w:hint="eastAsia" w:ascii="Times New Roman" w:hAnsi="Times New Roman" w:eastAsia="楷体_GB2312"/>
          <w:kern w:val="36"/>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val="0"/>
          <w:sz w:val="44"/>
          <w:szCs w:val="44"/>
          <w:lang w:val="en-US" w:eastAsia="zh-CN"/>
        </w:rPr>
      </w:pPr>
      <w:r>
        <w:rPr>
          <w:rFonts w:hint="default" w:ascii="Times New Roman" w:hAnsi="Times New Roman" w:eastAsia="方正小标宋简体" w:cs="Times New Roman"/>
          <w:b w:val="0"/>
          <w:bCs w:val="0"/>
          <w:sz w:val="44"/>
          <w:szCs w:val="44"/>
          <w:lang w:val="en-US" w:eastAsia="zh-CN"/>
        </w:rPr>
        <w:br w:type="page"/>
      </w:r>
      <w:r>
        <w:rPr>
          <w:rFonts w:hint="default" w:ascii="Times New Roman" w:hAnsi="Times New Roman" w:eastAsia="方正小标宋简体" w:cs="Times New Roman"/>
          <w:b w:val="0"/>
          <w:bCs w:val="0"/>
          <w:sz w:val="44"/>
          <w:szCs w:val="44"/>
          <w:lang w:val="en-US" w:eastAsia="zh-CN"/>
        </w:rPr>
        <w:t>坝塘镇“利剑护蕾·雷霆行动”实施方案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为落实省、市相关会议精神，根据《宁乡市“利剑护蕾·雷霆行动”实施方案</w:t>
      </w:r>
      <w:r>
        <w:rPr>
          <w:rFonts w:hint="default" w:ascii="Times New Roman" w:hAnsi="Times New Roman" w:eastAsia="仿宋_GB2312" w:cs="Times New Roman"/>
          <w:sz w:val="32"/>
          <w:szCs w:val="32"/>
          <w:lang w:val="en-US" w:eastAsia="zh-CN"/>
        </w:rPr>
        <w:t>》（宁平安〔2024〕1号）文件要求，结合坝塘镇实际，特制定本方案。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一、总体要求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坚持以习近平新时代中国特色社会主义思想为指导，深入学习贯彻习近平总书记关于未成年人保护工作重要指示精神，坚决贯彻党中央、国务院决策部署，落实省、市工作要求，对性侵未成年人犯罪“零容忍”“零懈怠”，始终保持严打高压态势，突出问题导向，坚持专项治理与系统治理、依法治理、综合治理、源头治理相结合，从根源上铲除性侵未成年人犯罪滋生的土壤，为全镇未成年人健康成长营造良好环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二、目标任务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从即日起至2024年12月底，全镇各线办、妇联、团委、残联、市监所、中心校、派出所、坝塘卫生院、南田坪卫生院、村（社区）、宁乡二中全面发起打击整治性侵未成年人犯罪新一轮强大攻势，确保在强化统筹、打击整治、案件倒查、教育预防、多元救助、制度落实等方面取得更大成效，性侵未成年人犯罪得到根本遏制，确保辖区性侵未成年人零案件发生，使人民群众安全感、满意度明显提升，进一步健全家庭保护、学校保护、社会保护、网络保护、政府保护、司法保护“六位一体”的新时代未成年人保护工作格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三、组织领导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成立坝塘镇“利剑护蕾·雷霆行动”领导小组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组  长：张慧明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副组长：</w:t>
      </w:r>
      <w:r>
        <w:rPr>
          <w:rFonts w:hint="default" w:ascii="Times New Roman" w:hAnsi="Times New Roman" w:eastAsia="仿宋_GB2312" w:cs="Times New Roman"/>
          <w:sz w:val="32"/>
          <w:szCs w:val="32"/>
          <w:lang w:val="en-US" w:eastAsia="zh-CN"/>
        </w:rPr>
        <w:t xml:space="preserve">邹  鑫  李新剑  肖  飞  肖立云  周国强  </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刘湘兵  周志华  邓峰煜  杨玉姣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成员单位：</w:t>
      </w:r>
      <w:r>
        <w:rPr>
          <w:rFonts w:hint="default" w:ascii="Times New Roman" w:hAnsi="Times New Roman" w:eastAsia="仿宋_GB2312" w:cs="Times New Roman"/>
          <w:sz w:val="32"/>
          <w:szCs w:val="32"/>
          <w:lang w:val="en-US" w:eastAsia="zh-CN"/>
        </w:rPr>
        <w:t>各线办、妇联、团委、</w:t>
      </w:r>
      <w:r>
        <w:rPr>
          <w:rFonts w:hint="default" w:ascii="Times New Roman" w:hAnsi="Times New Roman" w:eastAsia="仿宋_GB2312" w:cs="Times New Roman"/>
          <w:sz w:val="32"/>
          <w:szCs w:val="32"/>
          <w:lang w:val="en-US" w:eastAsia="zh-CN"/>
        </w:rPr>
        <w:t>残联、市监所</w:t>
      </w:r>
      <w:r>
        <w:rPr>
          <w:rFonts w:hint="default" w:ascii="Times New Roman" w:hAnsi="Times New Roman" w:eastAsia="仿宋_GB2312" w:cs="Times New Roman"/>
          <w:sz w:val="32"/>
          <w:szCs w:val="32"/>
          <w:lang w:val="en-US" w:eastAsia="zh-CN"/>
        </w:rPr>
        <w:t>、</w:t>
      </w:r>
      <w:bookmarkStart w:id="0" w:name="OLE_LINK1"/>
      <w:r>
        <w:rPr>
          <w:rFonts w:hint="default" w:ascii="Times New Roman" w:hAnsi="Times New Roman" w:eastAsia="仿宋_GB2312" w:cs="Times New Roman"/>
          <w:sz w:val="32"/>
          <w:szCs w:val="32"/>
          <w:lang w:val="en-US" w:eastAsia="zh-CN"/>
        </w:rPr>
        <w:t>中心</w:t>
      </w:r>
      <w:r>
        <w:rPr>
          <w:rFonts w:hint="default" w:ascii="Times New Roman" w:hAnsi="Times New Roman" w:eastAsia="仿宋_GB2312" w:cs="Times New Roman"/>
          <w:sz w:val="32"/>
          <w:szCs w:val="32"/>
          <w:lang w:val="en-US" w:eastAsia="zh-CN"/>
        </w:rPr>
        <w:t>校、</w:t>
      </w:r>
      <w:bookmarkEnd w:id="0"/>
      <w:r>
        <w:rPr>
          <w:rFonts w:hint="default" w:ascii="Times New Roman" w:hAnsi="Times New Roman" w:eastAsia="仿宋_GB2312" w:cs="Times New Roman"/>
          <w:sz w:val="32"/>
          <w:szCs w:val="32"/>
          <w:lang w:val="en-US" w:eastAsia="zh-CN"/>
        </w:rPr>
        <w:t>派出所、坝塘卫生院、南田坪</w:t>
      </w:r>
      <w:r>
        <w:rPr>
          <w:rFonts w:hint="default" w:ascii="Times New Roman" w:hAnsi="Times New Roman" w:eastAsia="仿宋_GB2312" w:cs="Times New Roman"/>
          <w:sz w:val="32"/>
          <w:szCs w:val="32"/>
          <w:lang w:val="en-US" w:eastAsia="zh-CN"/>
        </w:rPr>
        <w:t>卫生院、村（社区）、</w:t>
      </w:r>
      <w:r>
        <w:rPr>
          <w:rFonts w:hint="default" w:ascii="Times New Roman" w:hAnsi="Times New Roman" w:eastAsia="仿宋_GB2312" w:cs="Times New Roman"/>
          <w:sz w:val="32"/>
          <w:szCs w:val="32"/>
          <w:lang w:val="en-US" w:eastAsia="zh-CN"/>
        </w:rPr>
        <w:t>宁乡二中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bookmarkStart w:id="1" w:name="_GoBack"/>
      <w:bookmarkEnd w:id="1"/>
      <w:r>
        <w:rPr>
          <w:rFonts w:hint="default" w:ascii="Times New Roman" w:hAnsi="Times New Roman" w:eastAsia="仿宋_GB2312" w:cs="Times New Roman"/>
          <w:sz w:val="32"/>
          <w:szCs w:val="32"/>
          <w:lang w:val="en-US" w:eastAsia="zh-CN"/>
        </w:rPr>
        <w:t>“利剑护蕾·雷霆行动”领导小组下设综合协调、打击整治、宣传教育、救助保护、纪检监督5</w:t>
      </w:r>
      <w:r>
        <w:rPr>
          <w:rFonts w:hint="default" w:ascii="Times New Roman" w:hAnsi="Times New Roman" w:eastAsia="仿宋_GB2312" w:cs="Times New Roman"/>
          <w:sz w:val="32"/>
          <w:szCs w:val="32"/>
          <w:lang w:val="en-US" w:eastAsia="zh-CN"/>
        </w:rPr>
        <w:t>个工作专班，负责抓好全镇“利剑护蕾·雷霆行动”具体工作落实。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四、主要职责及任务分工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（一）综合协调专班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组  长：刘湘兵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副组长：谢  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成  员：王  韬（联络员） 刘  琼  </w:t>
      </w:r>
      <w:r>
        <w:rPr>
          <w:rFonts w:hint="default" w:ascii="Times New Roman" w:hAnsi="Times New Roman" w:eastAsia="仿宋_GB2312" w:cs="Times New Roman"/>
          <w:sz w:val="32"/>
          <w:szCs w:val="32"/>
          <w:lang w:val="en-US" w:eastAsia="zh-CN"/>
        </w:rPr>
        <w:t xml:space="preserve">喻 </w:t>
      </w:r>
      <w:r>
        <w:rPr>
          <w:rFonts w:hint="default" w:ascii="Times New Roman" w:hAnsi="Times New Roman" w:eastAsia="仿宋_GB2312" w:cs="Times New Roman"/>
          <w:sz w:val="32"/>
          <w:szCs w:val="32"/>
          <w:lang w:val="en-US" w:eastAsia="zh-CN"/>
        </w:rPr>
        <w:t>强</w:t>
      </w:r>
      <w:r>
        <w:rPr>
          <w:rFonts w:hint="default" w:ascii="Times New Roman" w:hAnsi="Times New Roman" w:eastAsia="仿宋_GB2312" w:cs="Times New Roman"/>
          <w:sz w:val="32"/>
          <w:szCs w:val="32"/>
          <w:vertAlign w:val="subscript"/>
          <w:lang w:val="en-US" w:eastAsia="zh-CN"/>
        </w:rPr>
        <w:t xml:space="preserve">（小）  </w:t>
      </w:r>
      <w:r>
        <w:rPr>
          <w:rFonts w:hint="default" w:ascii="Times New Roman" w:hAnsi="Times New Roman" w:eastAsia="仿宋_GB2312" w:cs="Times New Roman"/>
          <w:sz w:val="32"/>
          <w:szCs w:val="32"/>
          <w:lang w:val="en-US" w:eastAsia="zh-CN"/>
        </w:rPr>
        <w:t xml:space="preserve">刘  浩  </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戴沩江  邓伟宏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责任办公室：社会治安和应急管理办公室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主要职责：负责专项行动期间加强与上级有关部门的沟通协调，督促指导镇专项行动领导小组各工作专班及各线办、妇联、团委、</w:t>
      </w:r>
      <w:r>
        <w:rPr>
          <w:rFonts w:hint="default" w:ascii="Times New Roman" w:hAnsi="Times New Roman" w:eastAsia="仿宋_GB2312" w:cs="Times New Roman"/>
          <w:sz w:val="32"/>
          <w:szCs w:val="32"/>
          <w:lang w:val="en-US" w:eastAsia="zh-CN"/>
        </w:rPr>
        <w:t>残联、市监所</w:t>
      </w:r>
      <w:r>
        <w:rPr>
          <w:rFonts w:hint="default" w:ascii="Times New Roman" w:hAnsi="Times New Roman" w:eastAsia="仿宋_GB2312" w:cs="Times New Roman"/>
          <w:sz w:val="32"/>
          <w:szCs w:val="32"/>
          <w:lang w:val="en-US" w:eastAsia="zh-CN"/>
        </w:rPr>
        <w:t>、中心</w:t>
      </w:r>
      <w:r>
        <w:rPr>
          <w:rFonts w:hint="default" w:ascii="Times New Roman" w:hAnsi="Times New Roman" w:eastAsia="仿宋_GB2312" w:cs="Times New Roman"/>
          <w:sz w:val="32"/>
          <w:szCs w:val="32"/>
          <w:lang w:val="en-US" w:eastAsia="zh-CN"/>
        </w:rPr>
        <w:t>校、派出所、坝塘卫生院、南田坪</w:t>
      </w:r>
      <w:r>
        <w:rPr>
          <w:rFonts w:hint="default" w:ascii="Times New Roman" w:hAnsi="Times New Roman" w:eastAsia="仿宋_GB2312" w:cs="Times New Roman"/>
          <w:sz w:val="32"/>
          <w:szCs w:val="32"/>
          <w:lang w:val="en-US" w:eastAsia="zh-CN"/>
        </w:rPr>
        <w:t>卫生院、村（社区）、</w:t>
      </w:r>
      <w:r>
        <w:rPr>
          <w:rFonts w:hint="default" w:ascii="Times New Roman" w:hAnsi="Times New Roman" w:eastAsia="仿宋_GB2312" w:cs="Times New Roman"/>
          <w:sz w:val="32"/>
          <w:szCs w:val="32"/>
          <w:lang w:val="en-US" w:eastAsia="zh-CN"/>
        </w:rPr>
        <w:t>宁乡二中，切实履行工作职责、落实工作任务。组织开展对村（社区）联点帮扶工作，全面了解掌握全镇形势，督促开展攻坚行动，压实工作责任，确保性侵未成年人零发案。加强对前科人员问题线索收集汇总。负责专项行动期间全镇有关实施方案起草、工作会议组织、工作情况汇总和日常综合事务处理，及时总结创新经验做法，结合实际研究出台相关制度办法，推动打击整治性侵未成年人犯罪工作形成常治长效。</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（二）打击整治专班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组  长：傅国兴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副组长：许  鹏</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成  员：杨红辉  罗  军  彭雄辉  </w:t>
      </w:r>
      <w:r>
        <w:rPr>
          <w:rFonts w:hint="default" w:ascii="Times New Roman" w:hAnsi="Times New Roman" w:eastAsia="仿宋_GB2312" w:cs="Times New Roman"/>
          <w:sz w:val="32"/>
          <w:szCs w:val="32"/>
          <w:lang w:val="en-US" w:eastAsia="zh-CN"/>
        </w:rPr>
        <w:t xml:space="preserve">唐向荣  刘友礼  </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喻家宽  杨雪娥（联络员）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责任单位：派出所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主要职责：坚持严字当头，依法严厉打击性侵未成年人违法犯罪，对性侵未成年人案件快侦快诉快判。对重点案件实行重点打击、提级办理。对涉黑恶、涉组织强迫卖淫、“买处买春”等恶性案件开展一案多查，深挖背后组织者和“保护伞”，有效形成打击震慑。加强对涉未成年人重点行业、重点领域、重点场所的严格管控和排查整治，强化部门协作和信息共享，每月至少开展2次联合执法，全力整治未严格落实“五必须”要求的旅馆、KTV等经营场所，全力整治违规接纳、招聘未成年人或组织未成年人有偿陪侍等问题的网吧、KTV等休闲娱乐场所。全面排查、监管校外培训机构，推动落实从业查询制度。加强出租房摸排管理，动态建立租赁人员信息台账，强化出租人主体责任，对存在安全隐患的限时整改到位。对“利剑护蕾”专项行动以来所有案件进行倒查，建立性侵违法犯罪人员信息库，加强列管、定期走访，做好源头防范。组织开展同堂培训，统一执法思想、执法尺度，确保实现政治效果、法律效果、社会效果“三个统一”。</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（三）宣传教育专班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组  长：杨玉姣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副组长：黄  胜  谢旭红  罗泽民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成  员：江兵强（联络员）  </w:t>
      </w:r>
      <w:r>
        <w:rPr>
          <w:rFonts w:hint="default" w:ascii="Times New Roman" w:hAnsi="Times New Roman" w:eastAsia="仿宋_GB2312" w:cs="Times New Roman"/>
          <w:sz w:val="32"/>
          <w:szCs w:val="32"/>
          <w:lang w:val="en-US" w:eastAsia="zh-CN"/>
        </w:rPr>
        <w:t>钟俊夫  胡兰平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责任办公室：中心</w:t>
      </w:r>
      <w:r>
        <w:rPr>
          <w:rFonts w:hint="default" w:ascii="Times New Roman" w:hAnsi="Times New Roman" w:eastAsia="仿宋_GB2312" w:cs="Times New Roman"/>
          <w:sz w:val="32"/>
          <w:szCs w:val="32"/>
          <w:lang w:val="en-US" w:eastAsia="zh-CN"/>
        </w:rPr>
        <w:t xml:space="preserve">校 </w:t>
      </w:r>
      <w:r>
        <w:rPr>
          <w:rFonts w:hint="default" w:ascii="Times New Roman" w:hAnsi="Times New Roman" w:eastAsia="仿宋_GB2312" w:cs="Times New Roman"/>
          <w:sz w:val="32"/>
          <w:szCs w:val="32"/>
          <w:lang w:val="en-US" w:eastAsia="zh-CN"/>
        </w:rPr>
        <w:t xml:space="preserve"> 社会事业综合服务中心  </w:t>
      </w:r>
      <w:r>
        <w:rPr>
          <w:rFonts w:hint="default" w:ascii="Times New Roman" w:hAnsi="Times New Roman" w:eastAsia="仿宋_GB2312" w:cs="Times New Roman"/>
          <w:sz w:val="32"/>
          <w:szCs w:val="32"/>
          <w:lang w:val="en-US" w:eastAsia="zh-CN"/>
        </w:rPr>
        <w:t xml:space="preserve">宁乡二中  </w:t>
      </w:r>
    </w:p>
    <w:p>
      <w:pPr>
        <w:keepNext w:val="0"/>
        <w:keepLines w:val="0"/>
        <w:pageBreakBefore w:val="0"/>
        <w:widowControl w:val="0"/>
        <w:kinsoku/>
        <w:wordWrap/>
        <w:overflowPunct/>
        <w:topLinePunct w:val="0"/>
        <w:autoSpaceDE/>
        <w:autoSpaceDN/>
        <w:bidi w:val="0"/>
        <w:adjustRightInd/>
        <w:snapToGrid/>
        <w:spacing w:line="560" w:lineRule="exact"/>
        <w:ind w:firstLine="2560" w:firstLineChars="8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各村（社区）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主要职责：聚焦未成年人保护相关法律法规政策、家庭监护教育引导、打击成果等内容，充分用好各成员单位、村（社区）宣传平台以及“三长”、中心校、“法制副校长”等力量，开展多角度、多维度、针对性的宣传教育，通过发放宣传册、入户走访、屋场会、法治课堂、以案说法等形式，推动宣传教育进社区、进学校、进企业、进场所、进院落、进楼栋、进家庭。组织全镇行政事业单位工作人员（含劳务派遣、临聘等人员）签订《积极参与“利剑护蕾·雷霆行动”承诺书》并进行普法宣传。针对重点场所、重点人群、重点时段（如寒暑假期间）、易受侵害群体开展精准宣传教育。以提升学校保护能力为重点，加大中小学校、幼儿园及校外培训机构开展“六个一”防性侵教育活动的组织、督促力度，强化校园安全管理与周边环境治理，加大控辍保学力度，对符合法律规定条件的未成年学生进行专门矫治教育。加大《家庭教育促进法》的宣传教育落实力度，推进家庭教育指导服务体系建设，督促家庭监护职责落实，推动形成全社会共同重视、积极参与未成年人保护工作的良好氛围，从根源上铲除性侵未成年人犯罪滋生土壤。</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（四）救助保护专班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组  长：李新剑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副组长：阙胜强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成  员：谢琼清  谢宁锴  秦霞辉  文金辉  阮关云  </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李  毅  唐  敏  周爱平  </w:t>
      </w:r>
      <w:r>
        <w:rPr>
          <w:rFonts w:hint="default" w:ascii="Times New Roman" w:hAnsi="Times New Roman" w:eastAsia="仿宋_GB2312" w:cs="Times New Roman"/>
          <w:sz w:val="32"/>
          <w:szCs w:val="32"/>
          <w:lang w:val="en-US" w:eastAsia="zh-CN"/>
        </w:rPr>
        <w:t xml:space="preserve">唐  玲（联络员）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责任办公室：社会事务办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主要职责：摸清留守儿童、流动儿童、困境儿童、残疾儿童、单亲家庭、重组家庭、关系异常家庭等底数，将存在监护风险的对象列入重点关注和关爱帮扶对象，建立工作及相关人员信息台账，对高风险对象实时纳入关护，学生群体安排“三帮一”（老师帮教、干部帮扶、“三长”帮助）关护举措；非学生群体安排“二帮一”（干部帮扶、“三长”帮助）关护举措。构建多部门、多领域、多层次参与的检测预防、强制报告、应急处置、评估帮扶、监护干预为一体的未成年人多元综合救助帮扶机制，对未成年受害人积极开展法律援助、司法救助、生活救助、医疗救治、心理干预、转学安置、临时监护等多元救助。对未成年人保护社会组织进行摸底，发动社会组织积极开展帮扶救助和志愿服务。推动女童保护中心工作平台实体化运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（五）纪检监督专班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组  长：周国强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副组长：李  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成  员：黄  强（联络员）  喻强</w:t>
      </w:r>
      <w:r>
        <w:rPr>
          <w:rFonts w:hint="default" w:ascii="Times New Roman" w:hAnsi="Times New Roman" w:eastAsia="仿宋_GB2312" w:cs="Times New Roman"/>
          <w:sz w:val="32"/>
          <w:szCs w:val="32"/>
          <w:vertAlign w:val="subscript"/>
          <w:lang w:val="en-US" w:eastAsia="zh-CN"/>
        </w:rPr>
        <w:t>（大）</w:t>
      </w:r>
      <w:r>
        <w:rPr>
          <w:rFonts w:hint="default" w:ascii="Times New Roman" w:hAnsi="Times New Roman" w:eastAsia="仿宋_GB2312" w:cs="Times New Roman"/>
          <w:sz w:val="32"/>
          <w:szCs w:val="32"/>
          <w:lang w:val="en-US" w:eastAsia="zh-CN"/>
        </w:rPr>
        <w:t xml:space="preserve">  易彩玲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责任办公室：纪检监察室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主要职责：监督责任落实。确保各相关部门和单位认真履行保护未成年人的职责，对工作不力、失职渎职的单位和个人进行问责。查处违法违纪行为。对在专项行动中发现的涉及未成年人保护的违法违纪行为进行严肃查处，追究相关责任人的责任。推动制度建设。督促相关部门建立健全未成年人保护的制度机制，堵塞管理漏洞，从源头上预防侵害未成年人权益的行为。加强教育培训。组织开展针对相关部门和单位工作人员的未成年人保护法律法规和政策培训，增强他们的业务能力和责任意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五、工作要求</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 w:cs="Times New Roman"/>
          <w:b/>
          <w:bCs/>
          <w:sz w:val="32"/>
          <w:szCs w:val="32"/>
          <w:lang w:val="en-US" w:eastAsia="zh-CN"/>
        </w:rPr>
        <w:t>（一）提高思想认识。</w:t>
      </w:r>
      <w:r>
        <w:rPr>
          <w:rFonts w:hint="default" w:ascii="Times New Roman" w:hAnsi="Times New Roman" w:eastAsia="仿宋_GB2312" w:cs="Times New Roman"/>
          <w:sz w:val="32"/>
          <w:szCs w:val="32"/>
          <w:lang w:val="en-US" w:eastAsia="zh-CN"/>
        </w:rPr>
        <w:t>各线办、各村（社区）、各责任单位要提高政治站位，深刻认识开展“利剑护蕾·雷霆行动”的重要性和紧迫性，把思想和行动迅速统一到镇党委政府的决策部署上来，不断推动“雷霆行动”走深走实，取得明显成效。</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 w:cs="Times New Roman"/>
          <w:b/>
          <w:bCs/>
          <w:sz w:val="32"/>
          <w:szCs w:val="32"/>
          <w:lang w:val="en-US" w:eastAsia="zh-CN"/>
        </w:rPr>
        <w:t>（二）压实工作责任。</w:t>
      </w:r>
      <w:r>
        <w:rPr>
          <w:rFonts w:hint="default" w:ascii="Times New Roman" w:hAnsi="Times New Roman" w:eastAsia="仿宋_GB2312" w:cs="Times New Roman"/>
          <w:sz w:val="32"/>
          <w:szCs w:val="32"/>
          <w:lang w:val="en-US" w:eastAsia="zh-CN"/>
        </w:rPr>
        <w:t>各专班组长单位要切实加强组织协调，牵头制定细化方案，确保工作有序开展；责任单位要主动担当作为，积极协同配合。各线办、妇联、残联、市监所、中心校、宁乡二中、坝塘卫生院、南田坪卫生院、派出所、村（社区）要结合行业、辖区实际制定具体工作方案、责任压实到岗到人，抓紧部署推进，形成一级抓一级、层层抓落实的责任体系。</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 w:cs="Times New Roman"/>
          <w:b/>
          <w:bCs/>
          <w:sz w:val="32"/>
          <w:szCs w:val="32"/>
          <w:lang w:val="en-US" w:eastAsia="zh-CN"/>
        </w:rPr>
        <w:t>（三）注重协同配合。</w:t>
      </w:r>
      <w:r>
        <w:rPr>
          <w:rFonts w:hint="default" w:ascii="Times New Roman" w:hAnsi="Times New Roman" w:eastAsia="仿宋_GB2312" w:cs="Times New Roman"/>
          <w:sz w:val="32"/>
          <w:szCs w:val="32"/>
          <w:lang w:val="en-US" w:eastAsia="zh-CN"/>
        </w:rPr>
        <w:t>牢固树立大局意识和全镇“一盘棋”思想，建立健全专班横向协同联动，纵深共同参与的运行机制。各职能部门要加强信息共享和协同配合，形成风险联查、问题联治、工作联动的工作合力，确保“利剑护蕾·雷霆行动”各项措施叠加统筹推进。</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 w:cs="Times New Roman"/>
          <w:b/>
          <w:bCs/>
          <w:sz w:val="32"/>
          <w:szCs w:val="32"/>
          <w:lang w:val="en-US" w:eastAsia="zh-CN"/>
        </w:rPr>
        <w:t>（四）强化督导问责。</w:t>
      </w:r>
      <w:r>
        <w:rPr>
          <w:rFonts w:hint="default" w:ascii="Times New Roman" w:hAnsi="Times New Roman" w:eastAsia="仿宋_GB2312" w:cs="Times New Roman"/>
          <w:sz w:val="32"/>
          <w:szCs w:val="32"/>
          <w:lang w:val="en-US" w:eastAsia="zh-CN"/>
        </w:rPr>
        <w:t>加强对重点地区、领域、案件、线索问题的督导督办。对责任落实不到位、工作推进不力，导致发生恶性案件、造成重大社会影响的，依纪依规严肃追责问责。</w:t>
      </w:r>
    </w:p>
    <w:p>
      <w:pPr>
        <w:pStyle w:val="8"/>
        <w:keepNext w:val="0"/>
        <w:keepLines w:val="0"/>
        <w:pageBreakBefore w:val="0"/>
        <w:widowControl w:val="0"/>
        <w:kinsoku/>
        <w:wordWrap/>
        <w:overflowPunct/>
        <w:topLinePunct w:val="0"/>
        <w:autoSpaceDE/>
        <w:autoSpaceDN/>
        <w:bidi w:val="0"/>
        <w:adjustRightInd/>
        <w:snapToGrid/>
        <w:spacing w:after="0" w:line="560" w:lineRule="exact"/>
        <w:textAlignment w:val="auto"/>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p>
    <w:p>
      <w:pPr>
        <w:pStyle w:val="8"/>
        <w:rPr>
          <w:rFonts w:hint="default" w:ascii="Times New Roman" w:hAnsi="Times New Roman" w:eastAsia="仿宋_GB2312" w:cs="Times New Roman"/>
          <w:sz w:val="32"/>
          <w:szCs w:val="32"/>
          <w:lang w:val="en-US" w:eastAsia="zh-CN"/>
        </w:rPr>
      </w:pPr>
    </w:p>
    <w:p>
      <w:pPr>
        <w:rPr>
          <w:rFonts w:hint="default" w:ascii="Times New Roman" w:hAnsi="Times New Roman" w:eastAsia="仿宋_GB2312" w:cs="Times New Roman"/>
          <w:sz w:val="32"/>
          <w:szCs w:val="32"/>
          <w:lang w:val="en-US" w:eastAsia="zh-CN"/>
        </w:rPr>
      </w:pPr>
    </w:p>
    <w:p>
      <w:pPr>
        <w:pStyle w:val="2"/>
        <w:rPr>
          <w:rFonts w:hint="default" w:ascii="Times New Roman" w:hAnsi="Times New Roman" w:eastAsia="仿宋_GB2312" w:cs="Times New Roman"/>
          <w:sz w:val="32"/>
          <w:szCs w:val="32"/>
          <w:lang w:val="en-US" w:eastAsia="zh-CN"/>
        </w:rPr>
      </w:pPr>
    </w:p>
    <w:p>
      <w:pPr>
        <w:rPr>
          <w:rFonts w:hint="default" w:ascii="Times New Roman" w:hAnsi="Times New Roman" w:eastAsia="仿宋_GB2312" w:cs="Times New Roman"/>
          <w:sz w:val="32"/>
          <w:szCs w:val="32"/>
          <w:lang w:val="en-US" w:eastAsia="zh-CN"/>
        </w:rPr>
      </w:pPr>
    </w:p>
    <w:p>
      <w:pPr>
        <w:pStyle w:val="2"/>
        <w:rPr>
          <w:rFonts w:hint="default" w:ascii="Times New Roman" w:hAnsi="Times New Roman" w:eastAsia="仿宋_GB2312" w:cs="Times New Roman"/>
          <w:sz w:val="32"/>
          <w:szCs w:val="32"/>
          <w:lang w:val="en-US" w:eastAsia="zh-CN"/>
        </w:rPr>
      </w:pPr>
    </w:p>
    <w:p>
      <w:pPr>
        <w:rPr>
          <w:rFonts w:hint="default" w:ascii="Times New Roman" w:hAnsi="Times New Roman" w:eastAsia="仿宋_GB2312" w:cs="Times New Roman"/>
          <w:sz w:val="32"/>
          <w:szCs w:val="32"/>
          <w:lang w:val="en-US" w:eastAsia="zh-CN"/>
        </w:rPr>
      </w:pPr>
    </w:p>
    <w:p>
      <w:pPr>
        <w:pStyle w:val="2"/>
        <w:rPr>
          <w:rFonts w:hint="default" w:ascii="Times New Roman" w:hAnsi="Times New Roman" w:eastAsia="仿宋_GB2312" w:cs="Times New Roman"/>
          <w:sz w:val="32"/>
          <w:szCs w:val="32"/>
          <w:lang w:val="en-US" w:eastAsia="zh-CN"/>
        </w:rPr>
      </w:pPr>
    </w:p>
    <w:p>
      <w:pPr>
        <w:rPr>
          <w:rFonts w:hint="default" w:ascii="Times New Roman" w:hAnsi="Times New Roman" w:eastAsia="仿宋_GB2312" w:cs="Times New Roman"/>
          <w:sz w:val="32"/>
          <w:szCs w:val="32"/>
          <w:lang w:val="en-US" w:eastAsia="zh-CN"/>
        </w:rPr>
      </w:pPr>
    </w:p>
    <w:p>
      <w:pPr>
        <w:pStyle w:val="2"/>
        <w:rPr>
          <w:rFonts w:hint="default" w:ascii="Times New Roman" w:hAnsi="Times New Roman" w:eastAsia="仿宋_GB2312" w:cs="Times New Roman"/>
          <w:sz w:val="32"/>
          <w:szCs w:val="32"/>
          <w:lang w:val="en-US" w:eastAsia="zh-CN"/>
        </w:rPr>
      </w:pPr>
    </w:p>
    <w:p>
      <w:pPr>
        <w:rPr>
          <w:rFonts w:hint="default"/>
          <w:lang w:val="en-US" w:eastAsia="zh-CN"/>
        </w:rPr>
      </w:pPr>
    </w:p>
    <w:p>
      <w:pPr>
        <w:rPr>
          <w:rFonts w:hint="default" w:ascii="Times New Roman" w:hAnsi="Times New Roman" w:eastAsia="仿宋_GB2312" w:cs="Times New Roman"/>
          <w:sz w:val="32"/>
          <w:szCs w:val="32"/>
          <w:lang w:val="en-US" w:eastAsia="zh-CN"/>
        </w:rPr>
      </w:pPr>
    </w:p>
    <w:p>
      <w:pPr>
        <w:pStyle w:val="2"/>
        <w:rPr>
          <w:color w:val="auto"/>
        </w:rPr>
      </w:pPr>
    </w:p>
    <w:p>
      <w:pPr>
        <w:keepNext w:val="0"/>
        <w:keepLines w:val="0"/>
        <w:pageBreakBefore w:val="0"/>
        <w:widowControl w:val="0"/>
        <w:kinsoku/>
        <w:wordWrap/>
        <w:overflowPunct/>
        <w:topLinePunct w:val="0"/>
        <w:autoSpaceDE/>
        <w:autoSpaceDN/>
        <w:bidi w:val="0"/>
        <w:adjustRightInd w:val="0"/>
        <w:snapToGrid w:val="0"/>
        <w:spacing w:before="157" w:beforeLines="50" w:line="240" w:lineRule="auto"/>
        <w:ind w:right="714"/>
        <w:textAlignment w:val="auto"/>
        <w:rPr>
          <w:rFonts w:eastAsia="仿宋"/>
          <w:color w:val="auto"/>
          <w:sz w:val="21"/>
          <w:szCs w:val="21"/>
        </w:rPr>
      </w:pPr>
    </w:p>
    <w:p>
      <w:pPr>
        <w:pBdr>
          <w:top w:val="single" w:color="auto" w:sz="6" w:space="0"/>
          <w:bottom w:val="single" w:color="auto" w:sz="6" w:space="1"/>
        </w:pBdr>
        <w:spacing w:line="460" w:lineRule="exact"/>
        <w:jc w:val="center"/>
        <w:rPr>
          <w:rFonts w:hint="default"/>
          <w:lang w:val="en-US" w:eastAsia="zh-CN"/>
        </w:rPr>
      </w:pPr>
      <w:r>
        <w:rPr>
          <w:rFonts w:hint="eastAsia" w:ascii="仿宋" w:hAnsi="仿宋" w:eastAsia="仿宋"/>
          <w:color w:val="auto"/>
          <w:sz w:val="28"/>
          <w:szCs w:val="28"/>
        </w:rPr>
        <w:t>坝塘镇党政综合办公室</w:t>
      </w:r>
      <w:r>
        <w:rPr>
          <w:rFonts w:hint="eastAsia" w:ascii="仿宋" w:hAnsi="仿宋" w:eastAsia="仿宋"/>
          <w:color w:val="auto"/>
          <w:sz w:val="28"/>
          <w:szCs w:val="28"/>
          <w:lang w:val="en-US" w:eastAsia="zh-CN"/>
        </w:rPr>
        <w:t xml:space="preserve">     </w:t>
      </w:r>
      <w:r>
        <w:rPr>
          <w:rFonts w:ascii="仿宋" w:hAnsi="仿宋" w:eastAsia="仿宋"/>
          <w:color w:val="auto"/>
          <w:sz w:val="28"/>
          <w:szCs w:val="28"/>
        </w:rPr>
        <w:t xml:space="preserve">              </w:t>
      </w:r>
      <w:r>
        <w:rPr>
          <w:rFonts w:hint="default" w:ascii="Times New Roman" w:hAnsi="Times New Roman" w:eastAsia="仿宋" w:cs="Times New Roman"/>
          <w:color w:val="auto"/>
          <w:sz w:val="28"/>
          <w:szCs w:val="28"/>
        </w:rPr>
        <w:t xml:space="preserve"> 202</w:t>
      </w:r>
      <w:r>
        <w:rPr>
          <w:rFonts w:hint="default" w:ascii="Times New Roman" w:hAnsi="Times New Roman" w:eastAsia="仿宋" w:cs="Times New Roman"/>
          <w:color w:val="auto"/>
          <w:sz w:val="28"/>
          <w:szCs w:val="28"/>
          <w:lang w:val="en-US" w:eastAsia="zh-CN"/>
        </w:rPr>
        <w:t>4</w:t>
      </w:r>
      <w:r>
        <w:rPr>
          <w:rFonts w:hint="default" w:ascii="Times New Roman" w:hAnsi="Times New Roman" w:eastAsia="仿宋" w:cs="Times New Roman"/>
          <w:color w:val="auto"/>
          <w:sz w:val="28"/>
          <w:szCs w:val="28"/>
        </w:rPr>
        <w:t>年</w:t>
      </w:r>
      <w:r>
        <w:rPr>
          <w:rFonts w:hint="default" w:ascii="Times New Roman" w:hAnsi="Times New Roman" w:eastAsia="仿宋" w:cs="Times New Roman"/>
          <w:color w:val="auto"/>
          <w:sz w:val="28"/>
          <w:szCs w:val="28"/>
          <w:lang w:val="en-US" w:eastAsia="zh-CN"/>
        </w:rPr>
        <w:t>1</w:t>
      </w:r>
      <w:r>
        <w:rPr>
          <w:rFonts w:hint="default" w:ascii="Times New Roman" w:hAnsi="Times New Roman" w:eastAsia="仿宋" w:cs="Times New Roman"/>
          <w:color w:val="auto"/>
          <w:sz w:val="28"/>
          <w:szCs w:val="28"/>
        </w:rPr>
        <w:t>月</w:t>
      </w:r>
      <w:r>
        <w:rPr>
          <w:rFonts w:hint="default" w:ascii="Times New Roman" w:hAnsi="Times New Roman" w:eastAsia="仿宋" w:cs="Times New Roman"/>
          <w:color w:val="auto"/>
          <w:sz w:val="28"/>
          <w:szCs w:val="28"/>
          <w:lang w:val="en-US" w:eastAsia="zh-CN"/>
        </w:rPr>
        <w:t>29</w:t>
      </w:r>
      <w:r>
        <w:rPr>
          <w:rFonts w:hint="default" w:ascii="Times New Roman" w:hAnsi="Times New Roman" w:eastAsia="仿宋" w:cs="Times New Roman"/>
          <w:color w:val="auto"/>
          <w:sz w:val="28"/>
          <w:szCs w:val="28"/>
        </w:rPr>
        <w:t>日印发</w:t>
      </w:r>
      <w:r>
        <w:rPr>
          <w:color w:val="auto"/>
        </w:rPr>
        <mc:AlternateContent>
          <mc:Choice Requires="wps">
            <w:drawing>
              <wp:anchor distT="0" distB="0" distL="114300" distR="114300" simplePos="0" relativeHeight="251660288" behindDoc="0" locked="0" layoutInCell="1" allowOverlap="1">
                <wp:simplePos x="0" y="0"/>
                <wp:positionH relativeFrom="column">
                  <wp:posOffset>-298450</wp:posOffset>
                </wp:positionH>
                <wp:positionV relativeFrom="paragraph">
                  <wp:posOffset>8198485</wp:posOffset>
                </wp:positionV>
                <wp:extent cx="1405255" cy="891540"/>
                <wp:effectExtent l="7620" t="7620" r="15875" b="15240"/>
                <wp:wrapNone/>
                <wp:docPr id="1" name="Text Box 7"/>
                <wp:cNvGraphicFramePr/>
                <a:graphic xmlns:a="http://schemas.openxmlformats.org/drawingml/2006/main">
                  <a:graphicData uri="http://schemas.microsoft.com/office/word/2010/wordprocessingShape">
                    <wps:wsp>
                      <wps:cNvSpPr txBox="1"/>
                      <wps:spPr>
                        <a:xfrm>
                          <a:off x="0" y="0"/>
                          <a:ext cx="1405255" cy="891540"/>
                        </a:xfrm>
                        <a:prstGeom prst="rect">
                          <a:avLst/>
                        </a:prstGeom>
                        <a:solidFill>
                          <a:srgbClr val="FFFFFF"/>
                        </a:solidFill>
                        <a:ln w="15875" cap="flat" cmpd="sng">
                          <a:solidFill>
                            <a:srgbClr val="FFFFFF"/>
                          </a:solidFill>
                          <a:prstDash val="solid"/>
                          <a:miter/>
                          <a:headEnd type="none" w="med" len="med"/>
                          <a:tailEnd type="none" w="med" len="med"/>
                        </a:ln>
                        <a:effectLst/>
                      </wps:spPr>
                      <wps:txbx>
                        <w:txbxContent>
                          <w:p/>
                        </w:txbxContent>
                      </wps:txbx>
                      <wps:bodyPr vert="horz" anchor="t" anchorCtr="0" upright="1"/>
                    </wps:wsp>
                  </a:graphicData>
                </a:graphic>
              </wp:anchor>
            </w:drawing>
          </mc:Choice>
          <mc:Fallback>
            <w:pict>
              <v:shape id="Text Box 7" o:spid="_x0000_s1026" o:spt="202" type="#_x0000_t202" style="position:absolute;left:0pt;margin-left:-23.5pt;margin-top:645.55pt;height:70.2pt;width:110.65pt;z-index:251660288;mso-width-relative:page;mso-height-relative:page;" fillcolor="#FFFFFF" filled="t" stroked="t" coordsize="21600,21600" o:gfxdata="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v/X3ncAAAADQEAAA8A&#10;AAAAAAAAAQAgAAAAIgAAAGRycy9kb3ducmV2LnhtbFBLAQIUABQAAAAIAIdO4kBZyiU5EwIAAGkE&#10;AAAOAAAAAAAAAAEAIAAAACsBAABkcnMvZTJvRG9jLnhtbFBLBQYAAAAABgAGAFkBAACwBQAAAAA=&#10;">
                <v:fill on="t" focussize="0,0"/>
                <v:stroke weight="1.25pt" color="#FFFFFF" joinstyle="miter"/>
                <v:imagedata o:title=""/>
                <o:lock v:ext="edit" aspectratio="f"/>
                <v:textbox>
                  <w:txbxContent>
                    <w:p/>
                  </w:txbxContent>
                </v:textbox>
              </v:shape>
            </w:pict>
          </mc:Fallback>
        </mc:AlternateContent>
      </w:r>
    </w:p>
    <w:sectPr>
      <w:footerReference r:id="rId3" w:type="default"/>
      <w:pgSz w:w="11906" w:h="16838"/>
      <w:pgMar w:top="1984" w:right="1474" w:bottom="1757" w:left="1587" w:header="851" w:footer="1417" w:gutter="0"/>
      <w:paperSrc/>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大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ind w:left="315" w:leftChars="150" w:right="315" w:rightChars="150"/>
      <w:textAlignment w:val="auto"/>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ZIC97LAQAAnAMAAA4AAAAAAAAAAQAgAAAAHgEAAGRycy9lMm9E&#10;b2MueG1sUEsFBgAAAAAGAAYAWQEAAFsFAAAAAA==&#10;">
              <v:fill on="f" focussize="0,0"/>
              <v:stroke on="f"/>
              <v:imagedata o:title=""/>
              <o:lock v:ext="edit" aspectratio="f"/>
              <v:textbox inset="0mm,0mm,0mm,0mm" style="mso-fit-shape-to-text:t;">
                <w:txbxContent>
                  <w:p>
                    <w:pPr>
                      <w:pStyle w:val="6"/>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mirrorMargins w:val="1"/>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YxMjUzMjA2NDZmM2NmOTc5MGMyMzI5N2U1YjZlZDYifQ=="/>
    <w:docVar w:name="KSO_WPS_MARK_KEY" w:val="87401e3c-4477-47a6-a085-a4f778d5acfa"/>
  </w:docVars>
  <w:rsids>
    <w:rsidRoot w:val="00000000"/>
    <w:rsid w:val="08537DE8"/>
    <w:rsid w:val="08CC0577"/>
    <w:rsid w:val="13244479"/>
    <w:rsid w:val="15FF4ACE"/>
    <w:rsid w:val="17222AD9"/>
    <w:rsid w:val="252F3D08"/>
    <w:rsid w:val="25D83647"/>
    <w:rsid w:val="269C1CB4"/>
    <w:rsid w:val="2A4E308A"/>
    <w:rsid w:val="2B6B15CD"/>
    <w:rsid w:val="2EA93D71"/>
    <w:rsid w:val="2FA038EE"/>
    <w:rsid w:val="33FD62A0"/>
    <w:rsid w:val="38EFBADB"/>
    <w:rsid w:val="3D3B06ED"/>
    <w:rsid w:val="3D727A35"/>
    <w:rsid w:val="3EF316B9"/>
    <w:rsid w:val="3F794BD5"/>
    <w:rsid w:val="4026664B"/>
    <w:rsid w:val="48E54403"/>
    <w:rsid w:val="4CC10DCC"/>
    <w:rsid w:val="4CC42E87"/>
    <w:rsid w:val="515D0341"/>
    <w:rsid w:val="524416EE"/>
    <w:rsid w:val="56980674"/>
    <w:rsid w:val="599B48CE"/>
    <w:rsid w:val="5A19111B"/>
    <w:rsid w:val="5AEF67F6"/>
    <w:rsid w:val="5F042BEB"/>
    <w:rsid w:val="5F5E5E44"/>
    <w:rsid w:val="62C55412"/>
    <w:rsid w:val="62F72B04"/>
    <w:rsid w:val="69BF6BDD"/>
    <w:rsid w:val="6BEF0624"/>
    <w:rsid w:val="72C335A9"/>
    <w:rsid w:val="73D97FBB"/>
    <w:rsid w:val="7972647D"/>
    <w:rsid w:val="7AFF1DBB"/>
    <w:rsid w:val="7CB0587E"/>
    <w:rsid w:val="7D877271"/>
    <w:rsid w:val="7DDDE22D"/>
    <w:rsid w:val="7F3D43E8"/>
    <w:rsid w:val="7F7D3BB4"/>
    <w:rsid w:val="7FF6E979"/>
    <w:rsid w:val="A72FF92A"/>
    <w:rsid w:val="BED86B9E"/>
    <w:rsid w:val="CF7D8798"/>
    <w:rsid w:val="DEBD9FFD"/>
    <w:rsid w:val="FA21D085"/>
    <w:rsid w:val="FD693DD6"/>
    <w:rsid w:val="FEFEB81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First Indent"/>
    <w:basedOn w:val="3"/>
    <w:next w:val="1"/>
    <w:qFormat/>
    <w:uiPriority w:val="0"/>
    <w:pPr>
      <w:ind w:firstLine="420" w:firstLineChars="100"/>
    </w:pPr>
  </w:style>
  <w:style w:type="paragraph" w:styleId="3">
    <w:name w:val="Body Text"/>
    <w:basedOn w:val="1"/>
    <w:next w:val="2"/>
    <w:qFormat/>
    <w:uiPriority w:val="0"/>
    <w:pPr>
      <w:spacing w:after="120"/>
    </w:pPr>
  </w:style>
  <w:style w:type="paragraph" w:styleId="4">
    <w:name w:val="Body Text Indent"/>
    <w:basedOn w:val="1"/>
    <w:next w:val="5"/>
    <w:unhideWhenUsed/>
    <w:qFormat/>
    <w:uiPriority w:val="99"/>
    <w:pPr>
      <w:spacing w:after="120"/>
      <w:ind w:left="420" w:leftChars="200"/>
    </w:pPr>
  </w:style>
  <w:style w:type="paragraph" w:styleId="5">
    <w:name w:val="envelope return"/>
    <w:basedOn w:val="1"/>
    <w:qFormat/>
    <w:uiPriority w:val="0"/>
    <w:pPr>
      <w:snapToGrid w:val="0"/>
    </w:pPr>
    <w:rPr>
      <w:rFonts w:ascii="Arial" w:hAnsi="Arial"/>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Body Text First Indent 2"/>
    <w:basedOn w:val="4"/>
    <w:next w:val="1"/>
    <w:unhideWhenUsed/>
    <w:qFormat/>
    <w:uiPriority w:val="99"/>
    <w:pPr>
      <w:ind w:firstLine="420" w:firstLineChars="200"/>
    </w:pPr>
  </w:style>
  <w:style w:type="character" w:styleId="11">
    <w:name w:val="page number"/>
    <w:basedOn w:val="10"/>
    <w:qFormat/>
    <w:uiPriority w:val="99"/>
    <w:rPr>
      <w:rFonts w:cs="Times New Roman"/>
    </w:rPr>
  </w:style>
  <w:style w:type="character" w:customStyle="1" w:styleId="12">
    <w:name w:val="font01"/>
    <w:basedOn w:val="10"/>
    <w:uiPriority w:val="0"/>
    <w:rPr>
      <w:rFonts w:hint="eastAsia" w:ascii="仿宋_GB2312" w:eastAsia="仿宋_GB2312" w:cs="仿宋_GB2312"/>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2999</Words>
  <Characters>3015</Characters>
  <Lines>0</Lines>
  <Paragraphs>0</Paragraphs>
  <TotalTime>30</TotalTime>
  <ScaleCrop>false</ScaleCrop>
  <LinksUpToDate>false</LinksUpToDate>
  <CharactersWithSpaces>3241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2024-01-26T11:08:00Z</dcterms:created>
  <dc:creator>Administrator</dc:creator>
  <cp:lastModifiedBy>文芳</cp:lastModifiedBy>
  <cp:lastPrinted>2024-02-02T02:59:23Z</cp:lastPrinted>
  <dcterms:modified xsi:type="dcterms:W3CDTF">2024-02-02T03:10:25Z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276A6A9D8623486E9FEDB2F6DD90D373</vt:lpwstr>
  </property>
</Properties>
</file>