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val="0"/>
        <w:snapToGrid w:val="0"/>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宁乡市</w:t>
      </w:r>
      <w:r>
        <w:rPr>
          <w:rFonts w:hint="default" w:ascii="Times New Roman" w:hAnsi="Times New Roman" w:eastAsia="方正小标宋简体" w:cs="Times New Roman"/>
          <w:sz w:val="44"/>
          <w:szCs w:val="44"/>
          <w:lang w:eastAsia="zh-CN"/>
        </w:rPr>
        <w:t>坝塘</w:t>
      </w:r>
      <w:r>
        <w:rPr>
          <w:rFonts w:hint="default" w:ascii="Times New Roman" w:hAnsi="Times New Roman" w:eastAsia="方正小标宋简体" w:cs="Times New Roman"/>
          <w:sz w:val="44"/>
          <w:szCs w:val="44"/>
        </w:rPr>
        <w:t>镇人民政府</w:t>
      </w:r>
    </w:p>
    <w:p>
      <w:pPr>
        <w:keepNext w:val="0"/>
        <w:keepLines w:val="0"/>
        <w:pageBreakBefore w:val="0"/>
        <w:widowControl w:val="0"/>
        <w:kinsoku/>
        <w:wordWrap/>
        <w:overflowPunct/>
        <w:topLinePunct w:val="0"/>
        <w:autoSpaceDE/>
        <w:autoSpaceDN/>
        <w:bidi w:val="0"/>
        <w:adjustRightInd w:val="0"/>
        <w:snapToGrid w:val="0"/>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val="en-US" w:eastAsia="zh-CN"/>
        </w:rPr>
        <w:t>2022年</w:t>
      </w:r>
      <w:r>
        <w:rPr>
          <w:rFonts w:hint="default" w:ascii="Times New Roman" w:hAnsi="Times New Roman" w:eastAsia="方正小标宋简体" w:cs="Times New Roman"/>
          <w:sz w:val="44"/>
          <w:szCs w:val="44"/>
        </w:rPr>
        <w:t>部门整体支出绩效自评报告</w:t>
      </w:r>
    </w:p>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firstLine="560" w:firstLineChars="200"/>
        <w:textAlignment w:val="auto"/>
        <w:rPr>
          <w:rFonts w:hint="default" w:ascii="Times New Roman" w:hAnsi="Times New Roman" w:eastAsia="仿宋_GB2312" w:cs="Times New Roman"/>
          <w:sz w:val="28"/>
          <w:szCs w:val="28"/>
          <w:lang w:eastAsia="zh-CN"/>
        </w:rPr>
      </w:pP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根据《宁乡市财政局关于开展</w:t>
      </w:r>
      <w:r>
        <w:rPr>
          <w:rFonts w:hint="default" w:ascii="Times New Roman" w:hAnsi="Times New Roman" w:eastAsia="仿宋_GB2312" w:cs="Times New Roman"/>
          <w:sz w:val="32"/>
          <w:szCs w:val="32"/>
          <w:lang w:val="en-US" w:eastAsia="zh-CN"/>
        </w:rPr>
        <w:t>2022年度整体支出绩效自评和部门项目支出绩效评级工作的通知</w:t>
      </w:r>
      <w:r>
        <w:rPr>
          <w:rFonts w:hint="default" w:ascii="Times New Roman" w:hAnsi="Times New Roman" w:eastAsia="仿宋_GB2312" w:cs="Times New Roman"/>
          <w:sz w:val="32"/>
          <w:szCs w:val="32"/>
          <w:lang w:eastAsia="zh-CN"/>
        </w:rPr>
        <w:t>》（宁财</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2023</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3号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和预算绩效管理的要求，坝塘镇人民政府对2022年度部门整体支出绩效开展自评，评价结果如下：</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一、部门概况</w:t>
      </w: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（一）部门基本情况</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坝塘镇位于宁乡县中部偏东南，全镇有13个村民委员会，1个社区，镇域人口7.6万人。</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坝塘镇部门共设三中心一所一机关一执法队。具体职能职责如下：</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①坝塘镇社会事务综合服务中心。主要承担民政事务、社保保障、生殖健康宣传、咨询、检查和提供计划生育技术指导服务、乡村规划、环保、建设、城管等管理和执法职责。</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2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②</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坝塘镇农业综合服务中心。主要承担农林水等产业新技术、新品种的示范、推广；动植物防疫检疫、病虫害及疫情的检测、预报、防治和处理；畜禽与畜禽产品检疫、检验；森林资源管理、护林防火；水资源管理、防汛抗旱、农田水利建设；农业机械管理；农产品质量安全监测等职责。</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3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③</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坝塘镇政务服务中心。主要承担文化宣传、广播影视、法制教育、文艺演出、群众体育、科技推广、科普培训、安全生产监管、食品安全监管等职责。</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4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④</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坝塘镇司法所。主要承担司法调处工作。</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5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⑤</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坝塘镇综合执法大队。主要负责辖区内城管、综合治理等职责。</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6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⑥</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坝塘镇机关。承担全镇税收收缴，财政资金收入、调度、使用和监管、主管政府全面工作。</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人员情况，共有在职人员176人，其中政府机关125人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行政人员41人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工勤人员4人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事业人员80人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农业综合服务中心51人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为事业人员</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较上年增加1人，具体为调入9人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调出5人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退休3人</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（二）当年取得的主要事业成效。</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b/>
          <w:bCs/>
          <w:sz w:val="32"/>
          <w:szCs w:val="32"/>
          <w:shd w:val="clear" w:color="auto" w:fill="FFFFFF"/>
        </w:rPr>
      </w:pPr>
      <w:r>
        <w:rPr>
          <w:rFonts w:hint="default" w:ascii="Times New Roman" w:hAnsi="Times New Roman" w:eastAsia="仿宋_GB2312" w:cs="Times New Roman"/>
          <w:sz w:val="32"/>
          <w:szCs w:val="32"/>
        </w:rPr>
        <w:t>2022年</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以习近平新时代中国特色社会主义思想为指导，全面贯彻党的十九大和十九届历次全会以及镇经济工作会议精神，全面落实“三高四新”“强省会”战略，坚持稳中求进，以人民满意为根本，以高质量发展为主线，以“一二三四五”为行动指南，全面实施“五提”行动，奋力推动坝塘高质量发展</w:t>
      </w:r>
      <w:r>
        <w:rPr>
          <w:rFonts w:hint="default" w:ascii="Times New Roman" w:hAnsi="Times New Roman" w:eastAsia="仿宋_GB2312" w:cs="Times New Roman"/>
          <w:b w:val="0"/>
          <w:bCs w:val="0"/>
          <w:sz w:val="32"/>
          <w:szCs w:val="32"/>
          <w:shd w:val="clear" w:color="auto" w:fill="FFFFFF"/>
        </w:rPr>
        <w:t>。</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社会经济发展呈现出良好态势。截至目前，全镇已完成规模工业总产值1.4亿元，完成社会消费品零售总额4500万元、固定资产投资3.7亿元，全面完成各项指标任务；完成地方一般公共预算收入7341.60万元，全额完成目标。</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实施富民增收提速行动，让发展成色更足</w:t>
      </w:r>
      <w:r>
        <w:rPr>
          <w:rFonts w:hint="eastAsia"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实施环境品质提档行动，让山水亮色更显</w:t>
      </w:r>
      <w:r>
        <w:rPr>
          <w:rFonts w:hint="eastAsia"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实施民生福祉提标行动，让为民本色更真</w:t>
      </w:r>
      <w:r>
        <w:rPr>
          <w:rFonts w:hint="eastAsia"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4</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实施治理效能提优行动，让安全底色更实</w:t>
      </w:r>
      <w:r>
        <w:rPr>
          <w:rFonts w:hint="eastAsia"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5</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实施政府能力提升行动，让工作特色更丰</w:t>
      </w:r>
      <w:r>
        <w:rPr>
          <w:rFonts w:hint="eastAsia"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听民意、解民忧、办实事，民生福祉日益增进。</w:t>
      </w: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二、收入支出预算执行情况分析</w:t>
      </w: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（一）收入支出预算安排情况。</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包括单位收入、支出年初预算安排情况，与上年对比情况及增减变动原因（单位:万元）。</w:t>
      </w:r>
    </w:p>
    <w:tbl>
      <w:tblPr>
        <w:tblStyle w:val="6"/>
        <w:tblW w:w="8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1389"/>
        <w:gridCol w:w="1389"/>
        <w:gridCol w:w="1707"/>
        <w:gridCol w:w="1319"/>
        <w:gridCol w:w="1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2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名称</w:t>
            </w:r>
          </w:p>
        </w:tc>
        <w:tc>
          <w:tcPr>
            <w:tcW w:w="13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本年度</w:t>
            </w:r>
          </w:p>
        </w:tc>
        <w:tc>
          <w:tcPr>
            <w:tcW w:w="13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上年度</w:t>
            </w:r>
          </w:p>
        </w:tc>
        <w:tc>
          <w:tcPr>
            <w:tcW w:w="17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比上年增减</w:t>
            </w:r>
          </w:p>
        </w:tc>
        <w:tc>
          <w:tcPr>
            <w:tcW w:w="13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增减%</w:t>
            </w:r>
          </w:p>
        </w:tc>
        <w:tc>
          <w:tcPr>
            <w:tcW w:w="194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32"/>
                <w:szCs w:val="32"/>
              </w:rPr>
            </w:pPr>
            <w:r>
              <w:rPr>
                <w:rFonts w:hint="default" w:ascii="Times New Roman" w:hAnsi="Times New Roman" w:eastAsia="宋体" w:cs="Times New Roman"/>
                <w:b/>
                <w:bCs/>
                <w:sz w:val="28"/>
                <w:szCs w:val="28"/>
              </w:rPr>
              <w:t>变动原因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收入</w:t>
            </w:r>
          </w:p>
        </w:tc>
        <w:tc>
          <w:tcPr>
            <w:tcW w:w="13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3441.17</w:t>
            </w:r>
          </w:p>
        </w:tc>
        <w:tc>
          <w:tcPr>
            <w:tcW w:w="13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2855.32</w:t>
            </w:r>
          </w:p>
        </w:tc>
        <w:tc>
          <w:tcPr>
            <w:tcW w:w="17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585.85</w:t>
            </w:r>
          </w:p>
        </w:tc>
        <w:tc>
          <w:tcPr>
            <w:tcW w:w="13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20.52</w:t>
            </w:r>
          </w:p>
        </w:tc>
        <w:tc>
          <w:tcPr>
            <w:tcW w:w="194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人员增加，工资增长、保险缴费等收入增加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支出</w:t>
            </w:r>
          </w:p>
        </w:tc>
        <w:tc>
          <w:tcPr>
            <w:tcW w:w="13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3441.17</w:t>
            </w:r>
          </w:p>
        </w:tc>
        <w:tc>
          <w:tcPr>
            <w:tcW w:w="13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2855.32</w:t>
            </w:r>
          </w:p>
        </w:tc>
        <w:tc>
          <w:tcPr>
            <w:tcW w:w="17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585.85</w:t>
            </w:r>
          </w:p>
        </w:tc>
        <w:tc>
          <w:tcPr>
            <w:tcW w:w="13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20.52</w:t>
            </w:r>
          </w:p>
        </w:tc>
        <w:tc>
          <w:tcPr>
            <w:tcW w:w="194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人员增加，工资增长、保险缴费等收入增加</w:t>
            </w:r>
          </w:p>
        </w:tc>
      </w:tr>
    </w:tbl>
    <w:p>
      <w:pPr>
        <w:pStyle w:val="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240" w:lineRule="auto"/>
        <w:ind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（二）收入支出预算执行情况。</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当年收入支出预算执行基本情况，与上年度对比情况，包括增减绝对值与幅度，增减变动主要原因（单位:万元）。</w:t>
      </w:r>
    </w:p>
    <w:tbl>
      <w:tblPr>
        <w:tblStyle w:val="6"/>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7"/>
        <w:gridCol w:w="1392"/>
        <w:gridCol w:w="1392"/>
        <w:gridCol w:w="1712"/>
        <w:gridCol w:w="1167"/>
        <w:gridCol w:w="2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0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名称</w:t>
            </w:r>
          </w:p>
        </w:tc>
        <w:tc>
          <w:tcPr>
            <w:tcW w:w="13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本年度</w:t>
            </w:r>
          </w:p>
        </w:tc>
        <w:tc>
          <w:tcPr>
            <w:tcW w:w="13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上年度</w:t>
            </w:r>
          </w:p>
        </w:tc>
        <w:tc>
          <w:tcPr>
            <w:tcW w:w="1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比上年增减</w:t>
            </w:r>
          </w:p>
        </w:tc>
        <w:tc>
          <w:tcPr>
            <w:tcW w:w="116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增减%</w:t>
            </w:r>
          </w:p>
        </w:tc>
        <w:tc>
          <w:tcPr>
            <w:tcW w:w="22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32"/>
                <w:szCs w:val="32"/>
              </w:rPr>
            </w:pPr>
            <w:r>
              <w:rPr>
                <w:rFonts w:hint="default" w:ascii="Times New Roman" w:hAnsi="Times New Roman" w:eastAsia="宋体" w:cs="Times New Roman"/>
                <w:b/>
                <w:bCs/>
                <w:sz w:val="28"/>
                <w:szCs w:val="28"/>
              </w:rPr>
              <w:t>变动原因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10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收入</w:t>
            </w:r>
          </w:p>
        </w:tc>
        <w:tc>
          <w:tcPr>
            <w:tcW w:w="13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11966.27</w:t>
            </w:r>
          </w:p>
        </w:tc>
        <w:tc>
          <w:tcPr>
            <w:tcW w:w="13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10606.75</w:t>
            </w:r>
          </w:p>
        </w:tc>
        <w:tc>
          <w:tcPr>
            <w:tcW w:w="1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1359.52</w:t>
            </w:r>
          </w:p>
        </w:tc>
        <w:tc>
          <w:tcPr>
            <w:tcW w:w="116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12.82</w:t>
            </w:r>
          </w:p>
        </w:tc>
        <w:tc>
          <w:tcPr>
            <w:tcW w:w="22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一般公共服务支出、农林水支出、交通运输支出增加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10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支出</w:t>
            </w:r>
          </w:p>
        </w:tc>
        <w:tc>
          <w:tcPr>
            <w:tcW w:w="13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11966.27</w:t>
            </w:r>
          </w:p>
        </w:tc>
        <w:tc>
          <w:tcPr>
            <w:tcW w:w="13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10606.75</w:t>
            </w:r>
          </w:p>
        </w:tc>
        <w:tc>
          <w:tcPr>
            <w:tcW w:w="1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1359.52</w:t>
            </w:r>
          </w:p>
        </w:tc>
        <w:tc>
          <w:tcPr>
            <w:tcW w:w="116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12.82</w:t>
            </w:r>
          </w:p>
        </w:tc>
        <w:tc>
          <w:tcPr>
            <w:tcW w:w="22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一般公共服务支出、农林水支出、交通运输支出增加</w:t>
            </w:r>
          </w:p>
        </w:tc>
      </w:tr>
    </w:tbl>
    <w:p>
      <w:pPr>
        <w:pStyle w:val="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1．收入支出与预算对比分析。</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（1）预、决算差异情况，可分收入支出功能科目、分单位、分收入支出具体项目逐项对比（单位:元）。</w:t>
      </w:r>
    </w:p>
    <w:tbl>
      <w:tblPr>
        <w:tblStyle w:val="6"/>
        <w:tblW w:w="8906" w:type="dxa"/>
        <w:tblInd w:w="17" w:type="dxa"/>
        <w:tblLayout w:type="fixed"/>
        <w:tblCellMar>
          <w:top w:w="0" w:type="dxa"/>
          <w:left w:w="108" w:type="dxa"/>
          <w:bottom w:w="0" w:type="dxa"/>
          <w:right w:w="108" w:type="dxa"/>
        </w:tblCellMar>
      </w:tblPr>
      <w:tblGrid>
        <w:gridCol w:w="3823"/>
        <w:gridCol w:w="1744"/>
        <w:gridCol w:w="1577"/>
        <w:gridCol w:w="956"/>
        <w:gridCol w:w="806"/>
      </w:tblGrid>
      <w:tr>
        <w:tblPrEx>
          <w:tblCellMar>
            <w:top w:w="0" w:type="dxa"/>
            <w:left w:w="108" w:type="dxa"/>
            <w:bottom w:w="0" w:type="dxa"/>
            <w:right w:w="108" w:type="dxa"/>
          </w:tblCellMar>
        </w:tblPrEx>
        <w:trPr>
          <w:trHeight w:val="505" w:hRule="atLeast"/>
          <w:tblHeader/>
        </w:trPr>
        <w:tc>
          <w:tcPr>
            <w:tcW w:w="382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项目(按功能分类)</w:t>
            </w:r>
          </w:p>
        </w:tc>
        <w:tc>
          <w:tcPr>
            <w:tcW w:w="174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全年预算数</w:t>
            </w:r>
          </w:p>
        </w:tc>
        <w:tc>
          <w:tcPr>
            <w:tcW w:w="1577"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决算数</w:t>
            </w:r>
          </w:p>
        </w:tc>
        <w:tc>
          <w:tcPr>
            <w:tcW w:w="9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差异</w:t>
            </w:r>
          </w:p>
        </w:tc>
        <w:tc>
          <w:tcPr>
            <w:tcW w:w="80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差异%</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一、一般公共服务支出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38,050,156.34</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38,050,156.34</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二、外交支出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三、国防支出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四、公共安全支出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214,309.00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214,309.00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五、教育支出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2,149,417.00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2,149,417.00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六、科学技术支出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200,000.00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200,000.00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七、文化旅游体育与传媒支出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438,023.70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438,023.70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八、社会保障和就业支出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7,403,567.27</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7,403,567.27</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九、卫生健康支出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1,302,365.93</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1,302,365.93</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十、节能环保支出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2,613,036.74</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2,613,036.74</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十一、城乡社区支出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4,736,056.08</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4,736,056.08</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十二、农林水支出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43,675,284.86</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43,675,284.86</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十三、交通运输支出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14,430,322.00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14,430,322.00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十四、资源勘探工业信息等支出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十五、商业服务业等支出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122,000.00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122,000.00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十六、金融支出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十七、援助其他地区支出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十八、自然资源海洋气象等支出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十九、住房保障支出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1,088,120.34</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1,088,120.34</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二十、粮油物资储备支出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二十一、国有资本经营预算支出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二十二、灾害防治及应急管理支出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1,543,701.80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1,543,701.80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二十三、其他支出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1,696,360.00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1,696,360.00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二十四、债务还本支出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二十五、债务付息支出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505" w:hRule="atLeast"/>
        </w:trPr>
        <w:tc>
          <w:tcPr>
            <w:tcW w:w="382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二十六、抗疫特别国债安排的支出</w:t>
            </w:r>
          </w:p>
        </w:tc>
        <w:tc>
          <w:tcPr>
            <w:tcW w:w="174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1577"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0.00</w:t>
            </w:r>
          </w:p>
        </w:tc>
        <w:tc>
          <w:tcPr>
            <w:tcW w:w="95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c>
          <w:tcPr>
            <w:tcW w:w="806"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bl>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（2）差异原因分析：无差异。</w:t>
      </w: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2．收入支出结构分析。</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（1）各项收入占总收入的比重，各项支出占总支出的比重（单位:万元）。</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84"/>
        <w:gridCol w:w="1615"/>
        <w:gridCol w:w="2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5284" w:type="dxa"/>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项</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目</w:t>
            </w:r>
          </w:p>
        </w:tc>
        <w:tc>
          <w:tcPr>
            <w:tcW w:w="16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金额</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52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_GB2312" w:cs="Times New Roman"/>
                <w:sz w:val="28"/>
                <w:szCs w:val="28"/>
              </w:rPr>
            </w:pPr>
            <w:r>
              <w:rPr>
                <w:rFonts w:hint="default" w:ascii="Times New Roman" w:hAnsi="Times New Roman" w:cs="Times New Roman"/>
                <w:sz w:val="28"/>
                <w:szCs w:val="28"/>
              </w:rPr>
              <w:t>一般公共预算财政拨款收入</w:t>
            </w:r>
          </w:p>
        </w:tc>
        <w:tc>
          <w:tcPr>
            <w:tcW w:w="16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7768.29</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64.92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52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_GB2312" w:cs="Times New Roman"/>
                <w:sz w:val="28"/>
                <w:szCs w:val="28"/>
              </w:rPr>
            </w:pPr>
            <w:r>
              <w:rPr>
                <w:rFonts w:hint="default" w:ascii="Times New Roman" w:hAnsi="Times New Roman" w:cs="Times New Roman"/>
                <w:sz w:val="28"/>
                <w:szCs w:val="28"/>
              </w:rPr>
              <w:t>政府性基金预算财政拨款收入</w:t>
            </w:r>
          </w:p>
        </w:tc>
        <w:tc>
          <w:tcPr>
            <w:tcW w:w="16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441.90</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52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_GB2312" w:cs="Times New Roman"/>
                <w:sz w:val="28"/>
                <w:szCs w:val="28"/>
              </w:rPr>
            </w:pPr>
            <w:r>
              <w:rPr>
                <w:rFonts w:hint="default" w:ascii="Times New Roman" w:hAnsi="Times New Roman" w:cs="Times New Roman"/>
                <w:sz w:val="28"/>
                <w:szCs w:val="28"/>
              </w:rPr>
              <w:t>其他收入</w:t>
            </w:r>
          </w:p>
        </w:tc>
        <w:tc>
          <w:tcPr>
            <w:tcW w:w="16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3756.08</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5284" w:type="dxa"/>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cs="Times New Roman"/>
                <w:sz w:val="28"/>
                <w:szCs w:val="28"/>
              </w:rPr>
              <w:t>合</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计</w:t>
            </w:r>
          </w:p>
        </w:tc>
        <w:tc>
          <w:tcPr>
            <w:tcW w:w="16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11966.27</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100</w:t>
            </w:r>
          </w:p>
        </w:tc>
      </w:tr>
    </w:tbl>
    <w:p>
      <w:pPr>
        <w:pStyle w:val="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cs="Times New Roman"/>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收入支出与上年度对比情况及原因分析（单位:万元）。</w:t>
      </w:r>
    </w:p>
    <w:tbl>
      <w:tblPr>
        <w:tblStyle w:val="6"/>
        <w:tblW w:w="89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1"/>
        <w:gridCol w:w="1405"/>
        <w:gridCol w:w="1416"/>
        <w:gridCol w:w="1342"/>
        <w:gridCol w:w="1256"/>
        <w:gridCol w:w="2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1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名称</w:t>
            </w:r>
          </w:p>
        </w:tc>
        <w:tc>
          <w:tcPr>
            <w:tcW w:w="14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本年度</w:t>
            </w:r>
          </w:p>
        </w:tc>
        <w:tc>
          <w:tcPr>
            <w:tcW w:w="14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上年度</w:t>
            </w:r>
          </w:p>
        </w:tc>
        <w:tc>
          <w:tcPr>
            <w:tcW w:w="1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比上年增减</w:t>
            </w:r>
          </w:p>
        </w:tc>
        <w:tc>
          <w:tcPr>
            <w:tcW w:w="12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增减%</w:t>
            </w:r>
          </w:p>
        </w:tc>
        <w:tc>
          <w:tcPr>
            <w:tcW w:w="23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变动原因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cs="Times New Roman"/>
                <w:sz w:val="28"/>
                <w:szCs w:val="28"/>
              </w:rPr>
              <w:t>收入</w:t>
            </w:r>
          </w:p>
        </w:tc>
        <w:tc>
          <w:tcPr>
            <w:tcW w:w="14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11966.27</w:t>
            </w:r>
          </w:p>
        </w:tc>
        <w:tc>
          <w:tcPr>
            <w:tcW w:w="14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10606.75</w:t>
            </w:r>
          </w:p>
        </w:tc>
        <w:tc>
          <w:tcPr>
            <w:tcW w:w="1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1359.52</w:t>
            </w:r>
          </w:p>
        </w:tc>
        <w:tc>
          <w:tcPr>
            <w:tcW w:w="12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12.82</w:t>
            </w:r>
          </w:p>
        </w:tc>
        <w:tc>
          <w:tcPr>
            <w:tcW w:w="2381" w:type="dxa"/>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sz w:val="22"/>
                <w:szCs w:val="22"/>
              </w:rPr>
            </w:pPr>
            <w:r>
              <w:rPr>
                <w:rFonts w:hint="eastAsia" w:ascii="宋体" w:hAnsi="宋体" w:eastAsia="宋体" w:cs="宋体"/>
                <w:sz w:val="22"/>
                <w:szCs w:val="22"/>
              </w:rPr>
              <w:t>人员增加，工资增长、保险缴费等收入增加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cs="Times New Roman"/>
                <w:sz w:val="28"/>
                <w:szCs w:val="28"/>
              </w:rPr>
              <w:t>支出</w:t>
            </w:r>
          </w:p>
        </w:tc>
        <w:tc>
          <w:tcPr>
            <w:tcW w:w="14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11966.27</w:t>
            </w:r>
          </w:p>
        </w:tc>
        <w:tc>
          <w:tcPr>
            <w:tcW w:w="14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10606.75</w:t>
            </w:r>
          </w:p>
        </w:tc>
        <w:tc>
          <w:tcPr>
            <w:tcW w:w="1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1359.52</w:t>
            </w:r>
          </w:p>
        </w:tc>
        <w:tc>
          <w:tcPr>
            <w:tcW w:w="12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12.82</w:t>
            </w:r>
          </w:p>
        </w:tc>
        <w:tc>
          <w:tcPr>
            <w:tcW w:w="2381" w:type="dxa"/>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sz w:val="22"/>
                <w:szCs w:val="22"/>
              </w:rPr>
            </w:pPr>
            <w:r>
              <w:rPr>
                <w:rFonts w:hint="eastAsia" w:ascii="宋体" w:hAnsi="宋体" w:eastAsia="宋体" w:cs="宋体"/>
                <w:sz w:val="22"/>
                <w:szCs w:val="22"/>
              </w:rPr>
              <w:t>人员增加，工资增长、保险缴费等收入增加</w:t>
            </w:r>
          </w:p>
        </w:tc>
      </w:tr>
    </w:tbl>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3．支出按经济分类科目分析。</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z w:val="32"/>
          <w:szCs w:val="32"/>
        </w:rPr>
        <w:t>（1）、（2）、（3）“三公”经费、</w:t>
      </w:r>
      <w:r>
        <w:rPr>
          <w:rFonts w:hint="default" w:ascii="Times New Roman" w:hAnsi="Times New Roman" w:cs="Times New Roman"/>
          <w:sz w:val="32"/>
          <w:szCs w:val="32"/>
        </w:rPr>
        <w:t>会议费、培训费</w:t>
      </w:r>
      <w:r>
        <w:rPr>
          <w:rFonts w:hint="default" w:ascii="Times New Roman" w:hAnsi="Times New Roman" w:eastAsia="仿宋_GB2312" w:cs="Times New Roman"/>
          <w:sz w:val="32"/>
          <w:szCs w:val="32"/>
        </w:rPr>
        <w:t>支出情况：</w:t>
      </w:r>
      <w:r>
        <w:rPr>
          <w:rFonts w:hint="default" w:ascii="Times New Roman" w:hAnsi="Times New Roman" w:cs="Times New Roman"/>
          <w:sz w:val="28"/>
          <w:szCs w:val="28"/>
        </w:rPr>
        <w:t>（单位:万元）</w:t>
      </w:r>
    </w:p>
    <w:tbl>
      <w:tblPr>
        <w:tblStyle w:val="6"/>
        <w:tblW w:w="8997" w:type="dxa"/>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6"/>
        <w:gridCol w:w="858"/>
        <w:gridCol w:w="858"/>
        <w:gridCol w:w="858"/>
        <w:gridCol w:w="858"/>
        <w:gridCol w:w="2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275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指</w:t>
            </w:r>
            <w:r>
              <w:rPr>
                <w:rFonts w:hint="eastAsia" w:ascii="Times New Roman" w:hAnsi="Times New Roman" w:cs="Times New Roman"/>
                <w:b/>
                <w:bCs/>
                <w:color w:val="000000"/>
                <w:sz w:val="24"/>
                <w:szCs w:val="24"/>
                <w:lang w:val="en-US" w:eastAsia="zh-CN"/>
              </w:rPr>
              <w:t xml:space="preserve">  </w:t>
            </w:r>
            <w:r>
              <w:rPr>
                <w:rFonts w:hint="default" w:ascii="Times New Roman" w:hAnsi="Times New Roman" w:cs="Times New Roman"/>
                <w:b/>
                <w:bCs/>
                <w:color w:val="000000"/>
                <w:sz w:val="24"/>
                <w:szCs w:val="24"/>
              </w:rPr>
              <w:t>标</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本年度</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上年度</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textAlignment w:val="auto"/>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比上年增减</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增减%</w:t>
            </w:r>
          </w:p>
        </w:tc>
        <w:tc>
          <w:tcPr>
            <w:tcW w:w="28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原</w:t>
            </w:r>
            <w:r>
              <w:rPr>
                <w:rFonts w:hint="eastAsia" w:ascii="Times New Roman" w:hAnsi="Times New Roman" w:cs="Times New Roman"/>
                <w:b/>
                <w:bCs/>
                <w:color w:val="000000"/>
                <w:sz w:val="24"/>
                <w:szCs w:val="24"/>
                <w:lang w:val="en-US" w:eastAsia="zh-CN"/>
              </w:rPr>
              <w:t xml:space="preserve">  </w:t>
            </w:r>
            <w:r>
              <w:rPr>
                <w:rFonts w:hint="default" w:ascii="Times New Roman" w:hAnsi="Times New Roman" w:cs="Times New Roman"/>
                <w:b/>
                <w:bCs/>
                <w:color w:val="000000"/>
                <w:sz w:val="24"/>
                <w:szCs w:val="24"/>
              </w:rPr>
              <w:t>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5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w:t>
            </w:r>
            <w:r>
              <w:rPr>
                <w:rFonts w:hint="default" w:ascii="Times New Roman" w:hAnsi="Times New Roman" w:cs="Times New Roman"/>
                <w:color w:val="000000"/>
                <w:sz w:val="24"/>
                <w:szCs w:val="24"/>
              </w:rPr>
              <w:t>三公</w:t>
            </w:r>
            <w:r>
              <w:rPr>
                <w:rFonts w:hint="default" w:ascii="Times New Roman" w:hAnsi="Times New Roman" w:eastAsia="Malgun Gothic Semilight" w:cs="Times New Roman"/>
                <w:color w:val="000000"/>
                <w:sz w:val="24"/>
                <w:szCs w:val="24"/>
              </w:rPr>
              <w:t>”</w:t>
            </w:r>
            <w:r>
              <w:rPr>
                <w:rFonts w:hint="default" w:ascii="Times New Roman" w:hAnsi="Times New Roman" w:cs="Times New Roman"/>
                <w:color w:val="000000"/>
                <w:sz w:val="24"/>
                <w:szCs w:val="24"/>
              </w:rPr>
              <w:t>经费支出</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26.94</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27.67</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-0.73</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-2.65</w:t>
            </w:r>
          </w:p>
        </w:tc>
        <w:tc>
          <w:tcPr>
            <w:tcW w:w="28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color w:val="000000"/>
                <w:sz w:val="24"/>
                <w:szCs w:val="24"/>
              </w:rPr>
              <w:t>公务接待批次、人员减少，节约三公经费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5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其中：因公出国</w:t>
            </w:r>
            <w:r>
              <w:rPr>
                <w:rFonts w:hint="default" w:ascii="Times New Roman" w:hAnsi="Times New Roman" w:eastAsia="Malgun Gothic Semilight" w:cs="Times New Roman"/>
                <w:color w:val="000000"/>
                <w:sz w:val="24"/>
                <w:szCs w:val="24"/>
              </w:rPr>
              <w:t>（</w:t>
            </w:r>
            <w:r>
              <w:rPr>
                <w:rFonts w:hint="default" w:ascii="Times New Roman" w:hAnsi="Times New Roman" w:cs="Times New Roman"/>
                <w:color w:val="000000"/>
                <w:sz w:val="24"/>
                <w:szCs w:val="24"/>
              </w:rPr>
              <w:t>境</w:t>
            </w:r>
            <w:r>
              <w:rPr>
                <w:rFonts w:hint="default" w:ascii="Times New Roman" w:hAnsi="Times New Roman" w:eastAsia="Malgun Gothic Semilight" w:cs="Times New Roman"/>
                <w:color w:val="000000"/>
                <w:sz w:val="24"/>
                <w:szCs w:val="24"/>
              </w:rPr>
              <w:t>）</w:t>
            </w:r>
            <w:r>
              <w:rPr>
                <w:rFonts w:hint="default" w:ascii="Times New Roman" w:hAnsi="Times New Roman" w:cs="Times New Roman"/>
                <w:color w:val="000000"/>
                <w:sz w:val="24"/>
                <w:szCs w:val="24"/>
              </w:rPr>
              <w:t>费</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0</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0</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0</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0</w:t>
            </w:r>
          </w:p>
        </w:tc>
        <w:tc>
          <w:tcPr>
            <w:tcW w:w="28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5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公务用车购置及运行维护费</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6.49</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6.56</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-0.07</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-1.07</w:t>
            </w:r>
          </w:p>
        </w:tc>
        <w:tc>
          <w:tcPr>
            <w:tcW w:w="28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车辆维修、运行费用减少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5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其中：公务用车购置费</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0</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0</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0</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0</w:t>
            </w:r>
          </w:p>
        </w:tc>
        <w:tc>
          <w:tcPr>
            <w:tcW w:w="28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5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公务用车运行维护费</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6.49</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6.56</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-0.07</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-1.07</w:t>
            </w:r>
          </w:p>
        </w:tc>
        <w:tc>
          <w:tcPr>
            <w:tcW w:w="28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车辆维修、运行费用减少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5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公务接待费</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20.45</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21.11</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-0.66</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-3.15</w:t>
            </w:r>
          </w:p>
        </w:tc>
        <w:tc>
          <w:tcPr>
            <w:tcW w:w="28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公务接待批次、人员减少，节约接待费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5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培训费</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7.74</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0.94</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6.8</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722.71</w:t>
            </w:r>
          </w:p>
        </w:tc>
        <w:tc>
          <w:tcPr>
            <w:tcW w:w="28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加大对员工业务技能培训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75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会议费</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22.51</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13.38</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9.13</w:t>
            </w:r>
          </w:p>
        </w:tc>
        <w:tc>
          <w:tcPr>
            <w:tcW w:w="8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68.27</w:t>
            </w:r>
          </w:p>
        </w:tc>
        <w:tc>
          <w:tcPr>
            <w:tcW w:w="28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_GB2312" w:cs="Times New Roman"/>
                <w:color w:val="000000"/>
                <w:sz w:val="24"/>
                <w:szCs w:val="24"/>
              </w:rPr>
            </w:pPr>
            <w:r>
              <w:rPr>
                <w:rFonts w:hint="default" w:ascii="Times New Roman" w:hAnsi="Times New Roman" w:cs="Times New Roman"/>
                <w:sz w:val="24"/>
                <w:szCs w:val="24"/>
              </w:rPr>
              <w:t>会议费用增加</w:t>
            </w:r>
          </w:p>
        </w:tc>
      </w:tr>
    </w:tbl>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（4）其他对单位影响较大的支出情况。</w:t>
      </w:r>
    </w:p>
    <w:p>
      <w:pPr>
        <w:pStyle w:val="2"/>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无</w:t>
      </w:r>
    </w:p>
    <w:p>
      <w:pPr>
        <w:keepNext w:val="0"/>
        <w:keepLines w:val="0"/>
        <w:pageBreakBefore w:val="0"/>
        <w:widowControl w:val="0"/>
        <w:numPr>
          <w:ilvl w:val="0"/>
          <w:numId w:val="2"/>
        </w:numPr>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重点经济分类支出中存在的问题及改进措施。</w:t>
      </w:r>
    </w:p>
    <w:p>
      <w:pPr>
        <w:pStyle w:val="2"/>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cs="Times New Roman"/>
        </w:rPr>
      </w:pPr>
      <w:r>
        <w:rPr>
          <w:rFonts w:hint="default" w:ascii="Times New Roman" w:hAnsi="Times New Roman" w:eastAsia="仿宋_GB2312" w:cs="Times New Roman"/>
          <w:sz w:val="32"/>
          <w:szCs w:val="32"/>
        </w:rPr>
        <w:t>无</w:t>
      </w: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4.财政拨款收入、支出分析。</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根据报表项目分析财政拨款收入、支出情况，支出要按照基本支出和项目支出分析具体构成及特点。</w:t>
      </w:r>
    </w:p>
    <w:tbl>
      <w:tblPr>
        <w:tblStyle w:val="6"/>
        <w:tblW w:w="8752" w:type="dxa"/>
        <w:tblInd w:w="91" w:type="dxa"/>
        <w:tblLayout w:type="fixed"/>
        <w:tblCellMar>
          <w:top w:w="0" w:type="dxa"/>
          <w:left w:w="108" w:type="dxa"/>
          <w:bottom w:w="0" w:type="dxa"/>
          <w:right w:w="108" w:type="dxa"/>
        </w:tblCellMar>
      </w:tblPr>
      <w:tblGrid>
        <w:gridCol w:w="3103"/>
        <w:gridCol w:w="1412"/>
        <w:gridCol w:w="1412"/>
        <w:gridCol w:w="1625"/>
        <w:gridCol w:w="1200"/>
      </w:tblGrid>
      <w:tr>
        <w:tblPrEx>
          <w:tblCellMar>
            <w:top w:w="0" w:type="dxa"/>
            <w:left w:w="108" w:type="dxa"/>
            <w:bottom w:w="0" w:type="dxa"/>
            <w:right w:w="108" w:type="dxa"/>
          </w:tblCellMar>
        </w:tblPrEx>
        <w:trPr>
          <w:trHeight w:val="300" w:hRule="atLeast"/>
        </w:trPr>
        <w:tc>
          <w:tcPr>
            <w:tcW w:w="8752"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支</w:t>
            </w:r>
            <w:r>
              <w:rPr>
                <w:rFonts w:hint="eastAsia" w:ascii="Times New Roman" w:hAnsi="Times New Roman" w:cs="Times New Roman"/>
                <w:b/>
                <w:bCs/>
                <w:kern w:val="0"/>
                <w:sz w:val="24"/>
                <w:szCs w:val="24"/>
                <w:lang w:val="en-US" w:eastAsia="zh-CN"/>
              </w:rPr>
              <w:t xml:space="preserve">  </w:t>
            </w:r>
            <w:r>
              <w:rPr>
                <w:rFonts w:hint="default" w:ascii="Times New Roman" w:hAnsi="Times New Roman" w:cs="Times New Roman"/>
                <w:b/>
                <w:bCs/>
                <w:kern w:val="0"/>
                <w:sz w:val="24"/>
                <w:szCs w:val="24"/>
              </w:rPr>
              <w:t>出</w:t>
            </w:r>
          </w:p>
        </w:tc>
      </w:tr>
      <w:tr>
        <w:tblPrEx>
          <w:tblCellMar>
            <w:top w:w="0" w:type="dxa"/>
            <w:left w:w="108" w:type="dxa"/>
            <w:bottom w:w="0" w:type="dxa"/>
            <w:right w:w="108" w:type="dxa"/>
          </w:tblCellMar>
        </w:tblPrEx>
        <w:trPr>
          <w:trHeight w:val="300" w:hRule="atLeast"/>
        </w:trPr>
        <w:tc>
          <w:tcPr>
            <w:tcW w:w="310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4"/>
                <w:szCs w:val="24"/>
              </w:rPr>
            </w:pP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小计</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一般共预算财政拨款</w:t>
            </w:r>
          </w:p>
        </w:tc>
        <w:tc>
          <w:tcPr>
            <w:tcW w:w="1625"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政府性基金预算财政拨款</w:t>
            </w:r>
          </w:p>
        </w:tc>
        <w:tc>
          <w:tcPr>
            <w:tcW w:w="1200"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比重</w:t>
            </w:r>
          </w:p>
        </w:tc>
      </w:tr>
      <w:tr>
        <w:tblPrEx>
          <w:tblCellMar>
            <w:top w:w="0" w:type="dxa"/>
            <w:left w:w="108" w:type="dxa"/>
            <w:bottom w:w="0" w:type="dxa"/>
            <w:right w:w="108" w:type="dxa"/>
          </w:tblCellMar>
        </w:tblPrEx>
        <w:trPr>
          <w:trHeight w:val="471" w:hRule="atLeast"/>
        </w:trPr>
        <w:tc>
          <w:tcPr>
            <w:tcW w:w="310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一、基本支出</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4122.84</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4122.84</w:t>
            </w:r>
          </w:p>
        </w:tc>
        <w:tc>
          <w:tcPr>
            <w:tcW w:w="1625"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0.00</w:t>
            </w:r>
          </w:p>
        </w:tc>
        <w:tc>
          <w:tcPr>
            <w:tcW w:w="1200" w:type="dxa"/>
            <w:tcBorders>
              <w:top w:val="nil"/>
              <w:left w:val="nil"/>
              <w:bottom w:val="single" w:color="auto" w:sz="4" w:space="0"/>
              <w:right w:val="single" w:color="auto" w:sz="4" w:space="0"/>
            </w:tcBorders>
            <w:shd w:val="clear" w:color="000000" w:fill="FFFFFF"/>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50.22</w:t>
            </w:r>
          </w:p>
        </w:tc>
      </w:tr>
      <w:tr>
        <w:tblPrEx>
          <w:tblCellMar>
            <w:top w:w="0" w:type="dxa"/>
            <w:left w:w="108" w:type="dxa"/>
            <w:bottom w:w="0" w:type="dxa"/>
            <w:right w:w="108" w:type="dxa"/>
          </w:tblCellMar>
        </w:tblPrEx>
        <w:trPr>
          <w:trHeight w:val="471" w:hRule="atLeast"/>
        </w:trPr>
        <w:tc>
          <w:tcPr>
            <w:tcW w:w="310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xml:space="preserve">      人员经费</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3909.38</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3909.38</w:t>
            </w:r>
          </w:p>
        </w:tc>
        <w:tc>
          <w:tcPr>
            <w:tcW w:w="1625"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0.00</w:t>
            </w:r>
          </w:p>
        </w:tc>
        <w:tc>
          <w:tcPr>
            <w:tcW w:w="1200" w:type="dxa"/>
            <w:tcBorders>
              <w:top w:val="nil"/>
              <w:left w:val="nil"/>
              <w:bottom w:val="single" w:color="auto" w:sz="4" w:space="0"/>
              <w:right w:val="single" w:color="auto" w:sz="4" w:space="0"/>
            </w:tcBorders>
            <w:shd w:val="clear" w:color="000000" w:fill="FFFFFF"/>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47.62</w:t>
            </w:r>
          </w:p>
        </w:tc>
      </w:tr>
      <w:tr>
        <w:tblPrEx>
          <w:tblCellMar>
            <w:top w:w="0" w:type="dxa"/>
            <w:left w:w="108" w:type="dxa"/>
            <w:bottom w:w="0" w:type="dxa"/>
            <w:right w:w="108" w:type="dxa"/>
          </w:tblCellMar>
        </w:tblPrEx>
        <w:trPr>
          <w:trHeight w:val="471" w:hRule="atLeast"/>
        </w:trPr>
        <w:tc>
          <w:tcPr>
            <w:tcW w:w="310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xml:space="preserve">      公用经费</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213.46</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213.46</w:t>
            </w:r>
          </w:p>
        </w:tc>
        <w:tc>
          <w:tcPr>
            <w:tcW w:w="1625"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0.00</w:t>
            </w:r>
          </w:p>
        </w:tc>
        <w:tc>
          <w:tcPr>
            <w:tcW w:w="1200" w:type="dxa"/>
            <w:tcBorders>
              <w:top w:val="nil"/>
              <w:left w:val="nil"/>
              <w:bottom w:val="single" w:color="auto" w:sz="4" w:space="0"/>
              <w:right w:val="single" w:color="auto" w:sz="4" w:space="0"/>
            </w:tcBorders>
            <w:shd w:val="clear" w:color="000000" w:fill="FFFFFF"/>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2.6</w:t>
            </w:r>
          </w:p>
        </w:tc>
      </w:tr>
      <w:tr>
        <w:tblPrEx>
          <w:tblCellMar>
            <w:top w:w="0" w:type="dxa"/>
            <w:left w:w="108" w:type="dxa"/>
            <w:bottom w:w="0" w:type="dxa"/>
            <w:right w:w="108" w:type="dxa"/>
          </w:tblCellMar>
        </w:tblPrEx>
        <w:trPr>
          <w:trHeight w:val="471" w:hRule="atLeast"/>
        </w:trPr>
        <w:tc>
          <w:tcPr>
            <w:tcW w:w="310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二、项目支出</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4087.35</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3645.45</w:t>
            </w:r>
          </w:p>
        </w:tc>
        <w:tc>
          <w:tcPr>
            <w:tcW w:w="1625"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441.90</w:t>
            </w:r>
          </w:p>
        </w:tc>
        <w:tc>
          <w:tcPr>
            <w:tcW w:w="1200" w:type="dxa"/>
            <w:tcBorders>
              <w:top w:val="nil"/>
              <w:left w:val="nil"/>
              <w:bottom w:val="single" w:color="auto" w:sz="4" w:space="0"/>
              <w:right w:val="single" w:color="auto" w:sz="4" w:space="0"/>
            </w:tcBorders>
            <w:shd w:val="clear" w:color="000000" w:fill="FFFFFF"/>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49.78</w:t>
            </w:r>
          </w:p>
        </w:tc>
      </w:tr>
      <w:tr>
        <w:tblPrEx>
          <w:tblCellMar>
            <w:top w:w="0" w:type="dxa"/>
            <w:left w:w="108" w:type="dxa"/>
            <w:bottom w:w="0" w:type="dxa"/>
            <w:right w:w="108" w:type="dxa"/>
          </w:tblCellMar>
        </w:tblPrEx>
        <w:trPr>
          <w:trHeight w:val="471" w:hRule="atLeast"/>
        </w:trPr>
        <w:tc>
          <w:tcPr>
            <w:tcW w:w="310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 xml:space="preserve">    其中：基本建设类项目</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0.00</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0.00</w:t>
            </w:r>
          </w:p>
        </w:tc>
        <w:tc>
          <w:tcPr>
            <w:tcW w:w="1625"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0.00</w:t>
            </w:r>
          </w:p>
        </w:tc>
        <w:tc>
          <w:tcPr>
            <w:tcW w:w="1200" w:type="dxa"/>
            <w:tcBorders>
              <w:top w:val="nil"/>
              <w:left w:val="nil"/>
              <w:bottom w:val="single" w:color="auto" w:sz="4" w:space="0"/>
              <w:right w:val="single" w:color="auto" w:sz="4" w:space="0"/>
            </w:tcBorders>
            <w:shd w:val="clear" w:color="000000" w:fill="FFFFFF"/>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0</w:t>
            </w:r>
          </w:p>
        </w:tc>
      </w:tr>
      <w:tr>
        <w:tblPrEx>
          <w:tblCellMar>
            <w:top w:w="0" w:type="dxa"/>
            <w:left w:w="108" w:type="dxa"/>
            <w:bottom w:w="0" w:type="dxa"/>
            <w:right w:w="108" w:type="dxa"/>
          </w:tblCellMar>
        </w:tblPrEx>
        <w:trPr>
          <w:trHeight w:val="471" w:hRule="atLeast"/>
        </w:trPr>
        <w:tc>
          <w:tcPr>
            <w:tcW w:w="3103"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支出合计</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8210.19</w:t>
            </w:r>
          </w:p>
        </w:tc>
        <w:tc>
          <w:tcPr>
            <w:tcW w:w="1412"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7768.29</w:t>
            </w:r>
          </w:p>
        </w:tc>
        <w:tc>
          <w:tcPr>
            <w:tcW w:w="1625"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441.9</w:t>
            </w:r>
          </w:p>
        </w:tc>
        <w:tc>
          <w:tcPr>
            <w:tcW w:w="1200" w:type="dxa"/>
            <w:tcBorders>
              <w:top w:val="nil"/>
              <w:left w:val="nil"/>
              <w:bottom w:val="single" w:color="auto" w:sz="4" w:space="0"/>
              <w:right w:val="single" w:color="auto" w:sz="4" w:space="0"/>
            </w:tcBorders>
            <w:shd w:val="clear" w:color="000000" w:fill="FFFFFF"/>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100</w:t>
            </w:r>
          </w:p>
        </w:tc>
      </w:tr>
    </w:tbl>
    <w:p>
      <w:pPr>
        <w:pStyle w:val="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5.非财政拨款收入分析。</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根据报表项目分析非财政拨款收入情况，按照事业收入、经营收入和其他收入等分析具体构成和特点。</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1"/>
        <w:gridCol w:w="2858"/>
        <w:gridCol w:w="2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trPr>
        <w:tc>
          <w:tcPr>
            <w:tcW w:w="31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项</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目</w:t>
            </w:r>
          </w:p>
        </w:tc>
        <w:tc>
          <w:tcPr>
            <w:tcW w:w="28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金额</w:t>
            </w:r>
          </w:p>
        </w:tc>
        <w:tc>
          <w:tcPr>
            <w:tcW w:w="2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比重%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31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cs="Times New Roman"/>
                <w:sz w:val="28"/>
                <w:szCs w:val="28"/>
              </w:rPr>
              <w:t>事业收入</w:t>
            </w:r>
          </w:p>
        </w:tc>
        <w:tc>
          <w:tcPr>
            <w:tcW w:w="28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0</w:t>
            </w:r>
          </w:p>
        </w:tc>
        <w:tc>
          <w:tcPr>
            <w:tcW w:w="2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31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cs="Times New Roman"/>
                <w:sz w:val="28"/>
                <w:szCs w:val="28"/>
              </w:rPr>
              <w:t>经营收入</w:t>
            </w:r>
          </w:p>
        </w:tc>
        <w:tc>
          <w:tcPr>
            <w:tcW w:w="28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0</w:t>
            </w:r>
          </w:p>
        </w:tc>
        <w:tc>
          <w:tcPr>
            <w:tcW w:w="2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31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cs="Times New Roman"/>
                <w:sz w:val="28"/>
                <w:szCs w:val="28"/>
              </w:rPr>
              <w:t>其他收入</w:t>
            </w:r>
          </w:p>
        </w:tc>
        <w:tc>
          <w:tcPr>
            <w:tcW w:w="28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3756.08</w:t>
            </w:r>
          </w:p>
        </w:tc>
        <w:tc>
          <w:tcPr>
            <w:tcW w:w="2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31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cs="Times New Roman"/>
                <w:b/>
                <w:bCs/>
                <w:sz w:val="28"/>
                <w:szCs w:val="28"/>
              </w:rPr>
              <w:t>合</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计</w:t>
            </w:r>
          </w:p>
        </w:tc>
        <w:tc>
          <w:tcPr>
            <w:tcW w:w="28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3756.08</w:t>
            </w:r>
          </w:p>
        </w:tc>
        <w:tc>
          <w:tcPr>
            <w:tcW w:w="2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100</w:t>
            </w:r>
          </w:p>
        </w:tc>
      </w:tr>
    </w:tbl>
    <w:p>
      <w:pPr>
        <w:pStyle w:val="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（三）年末结转和结余情况。</w:t>
      </w:r>
      <w:bookmarkStart w:id="1" w:name="_GoBack"/>
      <w:bookmarkEnd w:id="1"/>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年末资金收支平衡，无结转和结余。</w:t>
      </w: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楷体_GB2312" w:cs="Times New Roman"/>
          <w:b/>
          <w:sz w:val="32"/>
          <w:szCs w:val="32"/>
        </w:rPr>
      </w:pPr>
      <w:bookmarkStart w:id="0" w:name="YS060103"/>
      <w:r>
        <w:rPr>
          <w:rFonts w:hint="default" w:ascii="Times New Roman" w:hAnsi="Times New Roman" w:eastAsia="楷体_GB2312" w:cs="Times New Roman"/>
          <w:b/>
          <w:sz w:val="32"/>
          <w:szCs w:val="32"/>
        </w:rPr>
        <w:t>（四）与预算支出相关的其他指标分析。</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对资产、负债信息进行分析，主要分析与上年度对比情况，包括增减绝对值与幅度，增减变动主要原因。</w:t>
      </w:r>
    </w:p>
    <w:tbl>
      <w:tblPr>
        <w:tblStyle w:val="6"/>
        <w:tblW w:w="5000" w:type="pct"/>
        <w:tblInd w:w="0" w:type="dxa"/>
        <w:tblLayout w:type="fixed"/>
        <w:tblCellMar>
          <w:top w:w="0" w:type="dxa"/>
          <w:left w:w="108" w:type="dxa"/>
          <w:bottom w:w="0" w:type="dxa"/>
          <w:right w:w="108" w:type="dxa"/>
        </w:tblCellMar>
      </w:tblPr>
      <w:tblGrid>
        <w:gridCol w:w="2227"/>
        <w:gridCol w:w="1148"/>
        <w:gridCol w:w="1148"/>
        <w:gridCol w:w="1148"/>
        <w:gridCol w:w="1150"/>
        <w:gridCol w:w="2149"/>
      </w:tblGrid>
      <w:tr>
        <w:tblPrEx>
          <w:tblCellMar>
            <w:top w:w="0" w:type="dxa"/>
            <w:left w:w="108" w:type="dxa"/>
            <w:bottom w:w="0" w:type="dxa"/>
            <w:right w:w="108" w:type="dxa"/>
          </w:tblCellMar>
        </w:tblPrEx>
        <w:trPr>
          <w:trHeight w:val="425" w:hRule="atLeast"/>
        </w:trPr>
        <w:tc>
          <w:tcPr>
            <w:tcW w:w="1241"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5"/>
                <w:szCs w:val="25"/>
              </w:rPr>
            </w:pPr>
            <w:r>
              <w:rPr>
                <w:rFonts w:hint="default" w:ascii="Times New Roman" w:hAnsi="Times New Roman" w:cs="Times New Roman"/>
                <w:b/>
                <w:bCs/>
                <w:kern w:val="0"/>
                <w:sz w:val="25"/>
                <w:szCs w:val="25"/>
              </w:rPr>
              <w:t>指标</w:t>
            </w:r>
          </w:p>
        </w:tc>
        <w:tc>
          <w:tcPr>
            <w:tcW w:w="639"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5"/>
                <w:szCs w:val="25"/>
              </w:rPr>
            </w:pPr>
            <w:r>
              <w:rPr>
                <w:rFonts w:hint="default" w:ascii="Times New Roman" w:hAnsi="Times New Roman" w:cs="Times New Roman"/>
                <w:b/>
                <w:bCs/>
                <w:kern w:val="0"/>
                <w:sz w:val="25"/>
                <w:szCs w:val="25"/>
              </w:rPr>
              <w:t>本年度</w:t>
            </w:r>
          </w:p>
        </w:tc>
        <w:tc>
          <w:tcPr>
            <w:tcW w:w="639"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5"/>
                <w:szCs w:val="25"/>
              </w:rPr>
            </w:pPr>
            <w:r>
              <w:rPr>
                <w:rFonts w:hint="default" w:ascii="Times New Roman" w:hAnsi="Times New Roman" w:cs="Times New Roman"/>
                <w:b/>
                <w:bCs/>
                <w:kern w:val="0"/>
                <w:sz w:val="25"/>
                <w:szCs w:val="25"/>
              </w:rPr>
              <w:t>上年度</w:t>
            </w:r>
          </w:p>
        </w:tc>
        <w:tc>
          <w:tcPr>
            <w:tcW w:w="639"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5"/>
                <w:szCs w:val="25"/>
              </w:rPr>
            </w:pPr>
            <w:r>
              <w:rPr>
                <w:rFonts w:hint="default" w:ascii="Times New Roman" w:hAnsi="Times New Roman" w:cs="Times New Roman"/>
                <w:b/>
                <w:bCs/>
                <w:kern w:val="0"/>
                <w:sz w:val="25"/>
                <w:szCs w:val="25"/>
              </w:rPr>
              <w:t>比上年增减</w:t>
            </w:r>
          </w:p>
        </w:tc>
        <w:tc>
          <w:tcPr>
            <w:tcW w:w="641"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5"/>
                <w:szCs w:val="25"/>
              </w:rPr>
            </w:pPr>
            <w:r>
              <w:rPr>
                <w:rFonts w:hint="default" w:ascii="Times New Roman" w:hAnsi="Times New Roman" w:cs="Times New Roman"/>
                <w:b/>
                <w:bCs/>
                <w:kern w:val="0"/>
                <w:sz w:val="25"/>
                <w:szCs w:val="25"/>
              </w:rPr>
              <w:t>增减%</w:t>
            </w:r>
          </w:p>
        </w:tc>
        <w:tc>
          <w:tcPr>
            <w:tcW w:w="1197"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kern w:val="0"/>
                <w:sz w:val="25"/>
                <w:szCs w:val="25"/>
              </w:rPr>
            </w:pPr>
            <w:r>
              <w:rPr>
                <w:rFonts w:hint="default" w:ascii="Times New Roman" w:hAnsi="Times New Roman" w:cs="Times New Roman"/>
                <w:b/>
                <w:bCs/>
                <w:kern w:val="0"/>
                <w:sz w:val="25"/>
                <w:szCs w:val="25"/>
              </w:rPr>
              <w:t>原因</w:t>
            </w:r>
          </w:p>
        </w:tc>
      </w:tr>
      <w:tr>
        <w:tblPrEx>
          <w:tblCellMar>
            <w:top w:w="0" w:type="dxa"/>
            <w:left w:w="108" w:type="dxa"/>
            <w:bottom w:w="0" w:type="dxa"/>
            <w:right w:w="108" w:type="dxa"/>
          </w:tblCellMar>
        </w:tblPrEx>
        <w:trPr>
          <w:trHeight w:val="425" w:hRule="atLeast"/>
        </w:trPr>
        <w:tc>
          <w:tcPr>
            <w:tcW w:w="1241"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kern w:val="0"/>
                <w:sz w:val="25"/>
                <w:szCs w:val="25"/>
              </w:rPr>
            </w:pPr>
            <w:r>
              <w:rPr>
                <w:rFonts w:hint="default" w:ascii="Times New Roman" w:hAnsi="Times New Roman" w:cs="Times New Roman"/>
                <w:b/>
                <w:bCs/>
                <w:kern w:val="0"/>
                <w:sz w:val="25"/>
                <w:szCs w:val="25"/>
              </w:rPr>
              <w:t>年末资产信息</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p>
        </w:tc>
        <w:tc>
          <w:tcPr>
            <w:tcW w:w="64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p>
        </w:tc>
        <w:tc>
          <w:tcPr>
            <w:tcW w:w="1197" w:type="pct"/>
            <w:tcBorders>
              <w:top w:val="nil"/>
              <w:left w:val="nil"/>
              <w:bottom w:val="single" w:color="auto" w:sz="4" w:space="0"/>
              <w:right w:val="single" w:color="auto" w:sz="4" w:space="0"/>
            </w:tcBorders>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　</w:t>
            </w:r>
          </w:p>
        </w:tc>
      </w:tr>
      <w:tr>
        <w:tblPrEx>
          <w:tblCellMar>
            <w:top w:w="0" w:type="dxa"/>
            <w:left w:w="108" w:type="dxa"/>
            <w:bottom w:w="0" w:type="dxa"/>
            <w:right w:w="108" w:type="dxa"/>
          </w:tblCellMar>
        </w:tblPrEx>
        <w:trPr>
          <w:trHeight w:val="425" w:hRule="atLeast"/>
        </w:trPr>
        <w:tc>
          <w:tcPr>
            <w:tcW w:w="1241"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1货币资金</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4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1197" w:type="pct"/>
            <w:tcBorders>
              <w:top w:val="nil"/>
              <w:left w:val="nil"/>
              <w:bottom w:val="single" w:color="auto" w:sz="4" w:space="0"/>
              <w:right w:val="single" w:color="auto" w:sz="4" w:space="0"/>
            </w:tcBorders>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　</w:t>
            </w:r>
          </w:p>
        </w:tc>
      </w:tr>
      <w:tr>
        <w:tblPrEx>
          <w:tblCellMar>
            <w:top w:w="0" w:type="dxa"/>
            <w:left w:w="108" w:type="dxa"/>
            <w:bottom w:w="0" w:type="dxa"/>
            <w:right w:w="108" w:type="dxa"/>
          </w:tblCellMar>
        </w:tblPrEx>
        <w:trPr>
          <w:trHeight w:val="425" w:hRule="atLeast"/>
        </w:trPr>
        <w:tc>
          <w:tcPr>
            <w:tcW w:w="1241"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2.财政应返还额度</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4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1197" w:type="pct"/>
            <w:tcBorders>
              <w:top w:val="nil"/>
              <w:left w:val="nil"/>
              <w:bottom w:val="single" w:color="auto" w:sz="4" w:space="0"/>
              <w:right w:val="single" w:color="auto" w:sz="4" w:space="0"/>
            </w:tcBorders>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　</w:t>
            </w:r>
          </w:p>
        </w:tc>
      </w:tr>
      <w:tr>
        <w:tblPrEx>
          <w:tblCellMar>
            <w:top w:w="0" w:type="dxa"/>
            <w:left w:w="108" w:type="dxa"/>
            <w:bottom w:w="0" w:type="dxa"/>
            <w:right w:w="108" w:type="dxa"/>
          </w:tblCellMar>
        </w:tblPrEx>
        <w:trPr>
          <w:trHeight w:val="425" w:hRule="atLeast"/>
        </w:trPr>
        <w:tc>
          <w:tcPr>
            <w:tcW w:w="1241"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3.房屋</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8073.02</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7942.74</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131.02</w:t>
            </w:r>
          </w:p>
        </w:tc>
        <w:tc>
          <w:tcPr>
            <w:tcW w:w="64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1.64</w:t>
            </w:r>
          </w:p>
        </w:tc>
        <w:tc>
          <w:tcPr>
            <w:tcW w:w="1197" w:type="pct"/>
            <w:tcBorders>
              <w:top w:val="nil"/>
              <w:left w:val="nil"/>
              <w:bottom w:val="single" w:color="auto" w:sz="4" w:space="0"/>
              <w:right w:val="single" w:color="auto" w:sz="4" w:space="0"/>
            </w:tcBorders>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南田中学维修完工</w:t>
            </w:r>
          </w:p>
        </w:tc>
      </w:tr>
      <w:tr>
        <w:tblPrEx>
          <w:tblCellMar>
            <w:top w:w="0" w:type="dxa"/>
            <w:left w:w="108" w:type="dxa"/>
            <w:bottom w:w="0" w:type="dxa"/>
            <w:right w:w="108" w:type="dxa"/>
          </w:tblCellMar>
        </w:tblPrEx>
        <w:trPr>
          <w:trHeight w:val="425" w:hRule="atLeast"/>
        </w:trPr>
        <w:tc>
          <w:tcPr>
            <w:tcW w:w="1241"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4.车辆</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sz w:val="25"/>
                <w:szCs w:val="25"/>
              </w:rPr>
              <w:t>36.99</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sz w:val="25"/>
                <w:szCs w:val="25"/>
              </w:rPr>
              <w:t>36.99</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4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1197" w:type="pct"/>
            <w:tcBorders>
              <w:top w:val="nil"/>
              <w:left w:val="nil"/>
              <w:bottom w:val="single" w:color="auto" w:sz="4" w:space="0"/>
              <w:right w:val="single" w:color="auto" w:sz="4" w:space="0"/>
            </w:tcBorders>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　</w:t>
            </w:r>
          </w:p>
        </w:tc>
      </w:tr>
      <w:tr>
        <w:tblPrEx>
          <w:tblCellMar>
            <w:top w:w="0" w:type="dxa"/>
            <w:left w:w="108" w:type="dxa"/>
            <w:bottom w:w="0" w:type="dxa"/>
            <w:right w:w="108" w:type="dxa"/>
          </w:tblCellMar>
        </w:tblPrEx>
        <w:trPr>
          <w:trHeight w:val="425" w:hRule="atLeast"/>
        </w:trPr>
        <w:tc>
          <w:tcPr>
            <w:tcW w:w="1241"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5.在建工程</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6218.44</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6183.89</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34.56</w:t>
            </w:r>
          </w:p>
        </w:tc>
        <w:tc>
          <w:tcPr>
            <w:tcW w:w="64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0.56</w:t>
            </w:r>
          </w:p>
        </w:tc>
        <w:tc>
          <w:tcPr>
            <w:tcW w:w="1197" w:type="pct"/>
            <w:tcBorders>
              <w:top w:val="nil"/>
              <w:left w:val="nil"/>
              <w:bottom w:val="single" w:color="auto" w:sz="4" w:space="0"/>
              <w:right w:val="single" w:color="auto" w:sz="4" w:space="0"/>
            </w:tcBorders>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南田坪小学.沩乌中学维修</w:t>
            </w:r>
          </w:p>
        </w:tc>
      </w:tr>
      <w:tr>
        <w:trPr>
          <w:trHeight w:val="425" w:hRule="atLeast"/>
        </w:trPr>
        <w:tc>
          <w:tcPr>
            <w:tcW w:w="1241"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kern w:val="0"/>
                <w:sz w:val="25"/>
                <w:szCs w:val="25"/>
              </w:rPr>
            </w:pPr>
            <w:r>
              <w:rPr>
                <w:rFonts w:hint="default" w:ascii="Times New Roman" w:hAnsi="Times New Roman" w:cs="Times New Roman"/>
                <w:b/>
                <w:bCs/>
                <w:kern w:val="0"/>
                <w:sz w:val="25"/>
                <w:szCs w:val="25"/>
              </w:rPr>
              <w:t>年末负债信息</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p>
        </w:tc>
        <w:tc>
          <w:tcPr>
            <w:tcW w:w="64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p>
        </w:tc>
        <w:tc>
          <w:tcPr>
            <w:tcW w:w="1197" w:type="pct"/>
            <w:tcBorders>
              <w:top w:val="nil"/>
              <w:left w:val="nil"/>
              <w:bottom w:val="single" w:color="auto" w:sz="4" w:space="0"/>
              <w:right w:val="single" w:color="auto" w:sz="4" w:space="0"/>
            </w:tcBorders>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　</w:t>
            </w:r>
          </w:p>
        </w:tc>
      </w:tr>
      <w:tr>
        <w:tblPrEx>
          <w:tblCellMar>
            <w:top w:w="0" w:type="dxa"/>
            <w:left w:w="108" w:type="dxa"/>
            <w:bottom w:w="0" w:type="dxa"/>
            <w:right w:w="108" w:type="dxa"/>
          </w:tblCellMar>
        </w:tblPrEx>
        <w:trPr>
          <w:trHeight w:val="425" w:hRule="atLeast"/>
        </w:trPr>
        <w:tc>
          <w:tcPr>
            <w:tcW w:w="1241"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1.借款</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4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1197" w:type="pct"/>
            <w:tcBorders>
              <w:top w:val="nil"/>
              <w:left w:val="nil"/>
              <w:bottom w:val="single" w:color="auto" w:sz="4" w:space="0"/>
              <w:right w:val="single" w:color="auto" w:sz="4" w:space="0"/>
            </w:tcBorders>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　</w:t>
            </w:r>
          </w:p>
        </w:tc>
      </w:tr>
      <w:tr>
        <w:tblPrEx>
          <w:tblCellMar>
            <w:top w:w="0" w:type="dxa"/>
            <w:left w:w="108" w:type="dxa"/>
            <w:bottom w:w="0" w:type="dxa"/>
            <w:right w:w="108" w:type="dxa"/>
          </w:tblCellMar>
        </w:tblPrEx>
        <w:trPr>
          <w:trHeight w:val="425" w:hRule="atLeast"/>
        </w:trPr>
        <w:tc>
          <w:tcPr>
            <w:tcW w:w="1241"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2.应缴财政款</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4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1197" w:type="pct"/>
            <w:tcBorders>
              <w:top w:val="nil"/>
              <w:left w:val="nil"/>
              <w:bottom w:val="single" w:color="auto" w:sz="4" w:space="0"/>
              <w:right w:val="single" w:color="auto" w:sz="4" w:space="0"/>
            </w:tcBorders>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　</w:t>
            </w:r>
          </w:p>
        </w:tc>
      </w:tr>
      <w:tr>
        <w:tblPrEx>
          <w:tblCellMar>
            <w:top w:w="0" w:type="dxa"/>
            <w:left w:w="108" w:type="dxa"/>
            <w:bottom w:w="0" w:type="dxa"/>
            <w:right w:w="108" w:type="dxa"/>
          </w:tblCellMar>
        </w:tblPrEx>
        <w:trPr>
          <w:trHeight w:val="425" w:hRule="atLeast"/>
        </w:trPr>
        <w:tc>
          <w:tcPr>
            <w:tcW w:w="1241"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3.应付职工薪酬</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39"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64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0</w:t>
            </w:r>
          </w:p>
        </w:tc>
        <w:tc>
          <w:tcPr>
            <w:tcW w:w="1197" w:type="pct"/>
            <w:tcBorders>
              <w:top w:val="nil"/>
              <w:left w:val="nil"/>
              <w:bottom w:val="single" w:color="auto" w:sz="4" w:space="0"/>
              <w:right w:val="single" w:color="auto" w:sz="4" w:space="0"/>
            </w:tcBorders>
            <w:noWrap/>
            <w:vAlign w:val="bottom"/>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cs="Times New Roman"/>
                <w:kern w:val="0"/>
                <w:sz w:val="25"/>
                <w:szCs w:val="25"/>
              </w:rPr>
            </w:pPr>
            <w:r>
              <w:rPr>
                <w:rFonts w:hint="default" w:ascii="Times New Roman" w:hAnsi="Times New Roman" w:cs="Times New Roman"/>
                <w:kern w:val="0"/>
                <w:sz w:val="25"/>
                <w:szCs w:val="25"/>
              </w:rPr>
              <w:t>　</w:t>
            </w:r>
          </w:p>
        </w:tc>
      </w:tr>
    </w:tbl>
    <w:p>
      <w:pPr>
        <w:pStyle w:val="2"/>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（五）绩效目标完成情况。</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rPr>
        <w:t>根据市本级预算绩效管理工作的要求，本单位对</w:t>
      </w:r>
      <w:r>
        <w:rPr>
          <w:rFonts w:hint="default" w:ascii="Times New Roman" w:hAnsi="Times New Roman" w:cs="Times New Roman"/>
          <w:color w:val="333333"/>
          <w:sz w:val="32"/>
          <w:szCs w:val="32"/>
        </w:rPr>
        <w:t>2022</w:t>
      </w:r>
      <w:r>
        <w:rPr>
          <w:rFonts w:hint="default" w:ascii="Times New Roman" w:hAnsi="Times New Roman" w:eastAsia="仿宋_GB2312" w:cs="Times New Roman"/>
          <w:color w:val="333333"/>
          <w:sz w:val="32"/>
          <w:szCs w:val="32"/>
        </w:rPr>
        <w:t>年度部门整体支出和市本级预算安排的公共项目资金进行了绩效自评，按时报送绩效自评报告，提高了财政资金的使用效益和管理水平。</w:t>
      </w:r>
      <w:r>
        <w:rPr>
          <w:rFonts w:hint="default" w:ascii="Times New Roman" w:hAnsi="Times New Roman" w:cs="Times New Roman"/>
          <w:color w:val="333333"/>
          <w:sz w:val="32"/>
          <w:szCs w:val="32"/>
        </w:rPr>
        <w:t>2022</w:t>
      </w:r>
      <w:r>
        <w:rPr>
          <w:rFonts w:hint="default" w:ascii="Times New Roman" w:hAnsi="Times New Roman" w:eastAsia="仿宋_GB2312" w:cs="Times New Roman"/>
          <w:color w:val="333333"/>
          <w:sz w:val="32"/>
          <w:szCs w:val="32"/>
        </w:rPr>
        <w:t>年，本部门整体支出11966.27万元，围绕工作的职能职责，认真落实党建、党风廉政建设、脱贫攻坚等工作任务，较好的实现了整体支出绩效目标。</w:t>
      </w: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（六）当年预算执行及绩效管理中存在问题、原因及改进措施。</w:t>
      </w:r>
    </w:p>
    <w:p>
      <w:pPr>
        <w:pStyle w:val="2"/>
        <w:keepNext w:val="0"/>
        <w:keepLines w:val="0"/>
        <w:pageBreakBefore w:val="0"/>
        <w:widowControl w:val="0"/>
        <w:kinsoku/>
        <w:wordWrap/>
        <w:overflowPunct/>
        <w:topLinePunct w:val="0"/>
        <w:autoSpaceDE/>
        <w:autoSpaceDN/>
        <w:bidi w:val="0"/>
        <w:adjustRightInd w:val="0"/>
        <w:snapToGrid w:val="0"/>
        <w:spacing w:line="312" w:lineRule="auto"/>
        <w:ind w:left="0" w:leftChars="0" w:firstLine="640" w:firstLineChars="200"/>
        <w:textAlignment w:val="auto"/>
        <w:rPr>
          <w:rFonts w:hint="default" w:ascii="Times New Roman" w:hAnsi="Times New Roman" w:eastAsia="仿宋_GB2312" w:cs="Times New Roman"/>
          <w:color w:val="333333"/>
          <w:sz w:val="32"/>
          <w:szCs w:val="32"/>
        </w:rPr>
      </w:pPr>
      <w:r>
        <w:rPr>
          <w:rFonts w:hint="default" w:ascii="Times New Roman" w:hAnsi="Times New Roman" w:eastAsia="仿宋_GB2312" w:cs="Times New Roman"/>
          <w:color w:val="333333"/>
          <w:sz w:val="32"/>
          <w:szCs w:val="32"/>
        </w:rPr>
        <w:t>本年在预算执行及绩效管理中暂未发现问题。</w:t>
      </w:r>
    </w:p>
    <w:p>
      <w:pPr>
        <w:keepNext w:val="0"/>
        <w:keepLines w:val="0"/>
        <w:pageBreakBefore w:val="0"/>
        <w:widowControl w:val="0"/>
        <w:kinsoku/>
        <w:wordWrap/>
        <w:overflowPunct/>
        <w:topLinePunct w:val="0"/>
        <w:autoSpaceDE/>
        <w:autoSpaceDN/>
        <w:bidi w:val="0"/>
        <w:adjustRightInd w:val="0"/>
        <w:snapToGrid w:val="0"/>
        <w:spacing w:line="312" w:lineRule="auto"/>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sz w:val="32"/>
          <w:szCs w:val="32"/>
        </w:rPr>
        <w:t>（</w:t>
      </w:r>
      <w:r>
        <w:rPr>
          <w:rFonts w:hint="default" w:ascii="Times New Roman" w:hAnsi="Times New Roman" w:eastAsia="楷体_GB2312" w:cs="Times New Roman"/>
          <w:b/>
          <w:bCs/>
          <w:sz w:val="32"/>
          <w:szCs w:val="32"/>
        </w:rPr>
        <w:t>七</w:t>
      </w:r>
      <w:r>
        <w:rPr>
          <w:rFonts w:hint="default" w:ascii="Times New Roman" w:hAnsi="Times New Roman" w:eastAsia="楷体_GB2312" w:cs="Times New Roman"/>
          <w:b/>
          <w:sz w:val="32"/>
          <w:szCs w:val="32"/>
        </w:rPr>
        <w:t>）</w:t>
      </w:r>
      <w:r>
        <w:rPr>
          <w:rFonts w:hint="default" w:ascii="Times New Roman" w:hAnsi="Times New Roman" w:eastAsia="楷体_GB2312" w:cs="Times New Roman"/>
          <w:b/>
          <w:bCs/>
          <w:sz w:val="32"/>
          <w:szCs w:val="32"/>
        </w:rPr>
        <w:t>改进措施和有关建议</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加强监管，做到监管机制环环相扣，不出现断层，行政单位预算是财政总预算的基础，它是党和国家方针政策和社会发展战略在行政单位预算中的体现，是单位行政正常开展业务活动的重要经济保证。因此，为保证预算编制的质量，在编制预算中，本单位应遵循下列原则：合法性原则、完整性原则、真实性原则、绩效性原则。进一步加强单位内部各办公室的预算管理意识，严格按照预算编制的相关制度和要求进行预算编制。严格编制政府采购年初预算和计划，规范各类资产的购置审批制度、使用管理制度、资产处置和报废审批制度、资产管理岗位职责制度等，加强单位内部的资产管理工作。严格控制“三公”经费的规模和比例，把关“三公”经费支出的审核、审批，合理压缩“三公”经费支出。</w:t>
      </w:r>
    </w:p>
    <w:p>
      <w:pPr>
        <w:pStyle w:val="2"/>
        <w:rPr>
          <w:rFonts w:hint="default"/>
        </w:rPr>
      </w:pP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hint="default" w:ascii="Times New Roman" w:hAnsi="Times New Roman"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val="0"/>
        <w:snapToGrid w:val="0"/>
        <w:spacing w:line="312" w:lineRule="auto"/>
        <w:textAlignment w:val="auto"/>
        <w:rPr>
          <w:rFonts w:hint="default" w:ascii="Times New Roman" w:hAnsi="Times New Roman" w:eastAsia="仿宋_GB2312" w:cs="Times New Roman"/>
          <w:color w:val="333333"/>
          <w:sz w:val="32"/>
          <w:szCs w:val="32"/>
        </w:rPr>
      </w:pPr>
    </w:p>
    <w:bookmarkEnd w:id="0"/>
    <w:p>
      <w:pPr>
        <w:keepNext w:val="0"/>
        <w:keepLines w:val="0"/>
        <w:pageBreakBefore w:val="0"/>
        <w:widowControl w:val="0"/>
        <w:kinsoku/>
        <w:wordWrap w:val="0"/>
        <w:overflowPunct/>
        <w:topLinePunct w:val="0"/>
        <w:autoSpaceDE/>
        <w:autoSpaceDN/>
        <w:bidi w:val="0"/>
        <w:adjustRightInd w:val="0"/>
        <w:snapToGrid w:val="0"/>
        <w:spacing w:line="312" w:lineRule="auto"/>
        <w:ind w:firstLine="640" w:firstLineChars="200"/>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宁乡市</w:t>
      </w:r>
      <w:r>
        <w:rPr>
          <w:rFonts w:hint="default" w:ascii="Times New Roman" w:hAnsi="Times New Roman" w:eastAsia="仿宋_GB2312" w:cs="Times New Roman"/>
          <w:sz w:val="32"/>
          <w:szCs w:val="32"/>
          <w:lang w:val="en-US" w:eastAsia="zh-CN"/>
        </w:rPr>
        <w:t>塘镇</w:t>
      </w:r>
      <w:r>
        <w:rPr>
          <w:rFonts w:hint="default" w:ascii="Times New Roman" w:hAnsi="Times New Roman" w:eastAsia="仿宋_GB2312" w:cs="Times New Roman"/>
          <w:sz w:val="32"/>
          <w:szCs w:val="32"/>
          <w:lang w:eastAsia="zh-CN"/>
        </w:rPr>
        <w:t>镇人民政府</w:t>
      </w:r>
      <w:r>
        <w:rPr>
          <w:rFonts w:hint="eastAsia" w:ascii="Times New Roman" w:hAnsi="Times New Roman" w:eastAsia="仿宋_GB2312"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12" w:lineRule="auto"/>
        <w:ind w:firstLine="640" w:firstLineChars="20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2023年4月26日</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cs="Times New Roman"/>
        </w:rPr>
      </w:pPr>
    </w:p>
    <w:sectPr>
      <w:footerReference r:id="rId3" w:type="default"/>
      <w:pgSz w:w="11906" w:h="16838"/>
      <w:pgMar w:top="1440" w:right="1576" w:bottom="1440" w:left="1576"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algun Gothic Semilight">
    <w:panose1 w:val="020B0502040204020203"/>
    <w:charset w:val="86"/>
    <w:family w:val="swiss"/>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2"/>
                              <w:szCs w:val="36"/>
                            </w:rPr>
                          </w:pPr>
                          <w:r>
                            <w:rPr>
                              <w:sz w:val="22"/>
                              <w:szCs w:val="36"/>
                            </w:rPr>
                            <w:t xml:space="preserve">— </w:t>
                          </w:r>
                          <w:r>
                            <w:rPr>
                              <w:sz w:val="22"/>
                              <w:szCs w:val="36"/>
                            </w:rPr>
                            <w:fldChar w:fldCharType="begin"/>
                          </w:r>
                          <w:r>
                            <w:rPr>
                              <w:sz w:val="22"/>
                              <w:szCs w:val="36"/>
                            </w:rPr>
                            <w:instrText xml:space="preserve"> PAGE  \* MERGEFORMAT </w:instrText>
                          </w:r>
                          <w:r>
                            <w:rPr>
                              <w:sz w:val="22"/>
                              <w:szCs w:val="36"/>
                            </w:rPr>
                            <w:fldChar w:fldCharType="separate"/>
                          </w:r>
                          <w:r>
                            <w:rPr>
                              <w:sz w:val="22"/>
                              <w:szCs w:val="36"/>
                            </w:rPr>
                            <w:t>1</w:t>
                          </w:r>
                          <w:r>
                            <w:rPr>
                              <w:sz w:val="22"/>
                              <w:szCs w:val="36"/>
                            </w:rPr>
                            <w:fldChar w:fldCharType="end"/>
                          </w:r>
                          <w:r>
                            <w:rPr>
                              <w:sz w:val="22"/>
                              <w:szCs w:val="36"/>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sz w:val="22"/>
                        <w:szCs w:val="36"/>
                      </w:rPr>
                    </w:pPr>
                    <w:r>
                      <w:rPr>
                        <w:sz w:val="22"/>
                        <w:szCs w:val="36"/>
                      </w:rPr>
                      <w:t xml:space="preserve">— </w:t>
                    </w:r>
                    <w:r>
                      <w:rPr>
                        <w:sz w:val="22"/>
                        <w:szCs w:val="36"/>
                      </w:rPr>
                      <w:fldChar w:fldCharType="begin"/>
                    </w:r>
                    <w:r>
                      <w:rPr>
                        <w:sz w:val="22"/>
                        <w:szCs w:val="36"/>
                      </w:rPr>
                      <w:instrText xml:space="preserve"> PAGE  \* MERGEFORMAT </w:instrText>
                    </w:r>
                    <w:r>
                      <w:rPr>
                        <w:sz w:val="22"/>
                        <w:szCs w:val="36"/>
                      </w:rPr>
                      <w:fldChar w:fldCharType="separate"/>
                    </w:r>
                    <w:r>
                      <w:rPr>
                        <w:sz w:val="22"/>
                        <w:szCs w:val="36"/>
                      </w:rPr>
                      <w:t>1</w:t>
                    </w:r>
                    <w:r>
                      <w:rPr>
                        <w:sz w:val="22"/>
                        <w:szCs w:val="36"/>
                      </w:rPr>
                      <w:fldChar w:fldCharType="end"/>
                    </w:r>
                    <w:r>
                      <w:rPr>
                        <w:sz w:val="22"/>
                        <w:szCs w:val="36"/>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210281"/>
    <w:multiLevelType w:val="singleLevel"/>
    <w:tmpl w:val="C9210281"/>
    <w:lvl w:ilvl="0" w:tentative="0">
      <w:start w:val="2"/>
      <w:numFmt w:val="decimal"/>
      <w:suff w:val="nothing"/>
      <w:lvlText w:val="（%1）"/>
      <w:lvlJc w:val="left"/>
    </w:lvl>
  </w:abstractNum>
  <w:abstractNum w:abstractNumId="1">
    <w:nsid w:val="6B4097B4"/>
    <w:multiLevelType w:val="singleLevel"/>
    <w:tmpl w:val="6B4097B4"/>
    <w:lvl w:ilvl="0" w:tentative="0">
      <w:start w:val="5"/>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xMjUzMjA2NDZmM2NmOTc5MGMyMzI5N2U1YjZlZDYifQ=="/>
  </w:docVars>
  <w:rsids>
    <w:rsidRoot w:val="3B5B0635"/>
    <w:rsid w:val="00D348AD"/>
    <w:rsid w:val="0D5650C5"/>
    <w:rsid w:val="0D6E42F3"/>
    <w:rsid w:val="13103462"/>
    <w:rsid w:val="14FD4130"/>
    <w:rsid w:val="19090C13"/>
    <w:rsid w:val="1A41695D"/>
    <w:rsid w:val="1BBB0703"/>
    <w:rsid w:val="2C8139BA"/>
    <w:rsid w:val="3B5B0635"/>
    <w:rsid w:val="3C857AC6"/>
    <w:rsid w:val="3FB157F6"/>
    <w:rsid w:val="45886FF9"/>
    <w:rsid w:val="4C57735A"/>
    <w:rsid w:val="510943E1"/>
    <w:rsid w:val="59D10563"/>
    <w:rsid w:val="5A990ED3"/>
    <w:rsid w:val="5E07351C"/>
    <w:rsid w:val="60F670B5"/>
    <w:rsid w:val="61912710"/>
    <w:rsid w:val="6A242EE4"/>
    <w:rsid w:val="6A5C6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3205</Words>
  <Characters>4083</Characters>
  <Lines>0</Lines>
  <Paragraphs>0</Paragraphs>
  <TotalTime>25</TotalTime>
  <ScaleCrop>false</ScaleCrop>
  <LinksUpToDate>false</LinksUpToDate>
  <CharactersWithSpaces>4151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2022-12-31T02:56:00Z</dcterms:created>
  <dc:creator>Administrator</dc:creator>
  <cp:lastModifiedBy>文芳</cp:lastModifiedBy>
  <cp:lastPrinted>2023-09-18T06:19:00Z</cp:lastPrinted>
  <dcterms:modified xsi:type="dcterms:W3CDTF">2023-09-18T06:31:28Z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7145856C669643CB83914B6B35252F64_13</vt:lpwstr>
  </property>
</Properties>
</file>