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宁乡市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  <w:t>白马桥街道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202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年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  <w:t>部门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整体支出</w:t>
      </w:r>
    </w:p>
    <w:p>
      <w:pPr>
        <w:spacing w:line="600" w:lineRule="exact"/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绩效自评报告</w:t>
      </w:r>
    </w:p>
    <w:p>
      <w:pPr>
        <w:spacing w:line="600" w:lineRule="exact"/>
        <w:ind w:firstLine="600" w:firstLineChars="200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Cs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Cs w:val="0"/>
          <w:sz w:val="30"/>
          <w:szCs w:val="30"/>
          <w:lang w:val="en-US" w:eastAsia="zh-CN"/>
        </w:rPr>
        <w:t>根据宁乡市财政局《关于印发&lt;宁乡市全面实施预算绩效管理的实施办法&gt;的通知》（宁财绩〔2021〕4号）文件要求，我单位组织绩效评价小组对白马桥街道2022年</w:t>
      </w:r>
      <w:r>
        <w:rPr>
          <w:rFonts w:hint="eastAsia" w:ascii="仿宋_GB2312" w:hAnsi="仿宋_GB2312" w:eastAsia="仿宋_GB2312" w:cs="仿宋_GB2312"/>
          <w:sz w:val="30"/>
          <w:szCs w:val="30"/>
        </w:rPr>
        <w:t>整体支出</w:t>
      </w:r>
      <w:r>
        <w:rPr>
          <w:rFonts w:hint="eastAsia" w:ascii="仿宋_GB2312" w:hAnsi="仿宋_GB2312" w:eastAsia="仿宋_GB2312" w:cs="仿宋_GB2312"/>
          <w:bCs w:val="0"/>
          <w:sz w:val="30"/>
          <w:szCs w:val="30"/>
          <w:lang w:val="en-US" w:eastAsia="zh-CN"/>
        </w:rPr>
        <w:t>实施了绩效自评。现将项目绩效自评情况报告如下：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2" w:firstLineChars="200"/>
        <w:textAlignment w:val="auto"/>
        <w:rPr>
          <w:rFonts w:hint="eastAsia" w:ascii="仿宋_GB2312" w:hAnsi="仿宋_GB2312" w:eastAsia="仿宋_GB2312" w:cs="仿宋_GB2312"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  <w:t>一、</w:t>
      </w:r>
      <w:r>
        <w:rPr>
          <w:rFonts w:hint="eastAsia" w:ascii="仿宋_GB2312" w:hAnsi="仿宋_GB2312" w:eastAsia="仿宋_GB2312" w:cs="仿宋_GB2312"/>
          <w:b/>
          <w:bCs w:val="0"/>
          <w:sz w:val="30"/>
          <w:szCs w:val="30"/>
          <w:lang w:val="en-US" w:eastAsia="zh-CN"/>
        </w:rPr>
        <w:t>单位基本情况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2" w:firstLineChars="200"/>
        <w:textAlignment w:val="auto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  <w:t>（一）机构组成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Cs w:val="0"/>
          <w:sz w:val="30"/>
          <w:szCs w:val="30"/>
          <w:lang w:val="en-US" w:eastAsia="zh-CN"/>
        </w:rPr>
        <w:t>白马桥街道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位于宁乡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南大门，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截至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2022年年末，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本单位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辖有7个居民委员会，103个居民小组，户籍人口约3万人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现有社区干部44人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。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本单位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部门共设三中心一所一机关一执法队，即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社会事务综合服务中心、农业综合服务中心、政务服务中心、司法所、政府机关、综合执法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  <w:lang w:eastAsia="zh-CN"/>
        </w:rPr>
        <w:t>大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队。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02" w:firstLineChars="200"/>
        <w:jc w:val="both"/>
        <w:textAlignment w:val="center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  <w:highlight w:val="none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  <w:highlight w:val="none"/>
          <w:lang w:eastAsia="zh-CN"/>
        </w:rPr>
        <w:t>）各机构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0"/>
          <w:szCs w:val="30"/>
          <w:highlight w:val="none"/>
        </w:rPr>
        <w:t>具体职能职责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社会事务综合服务中心。主要承担民政事务、社保保障、生殖健康宣传、咨询、检查和提供计划生育技术指导服务、乡村规划、环保、建设、城管等管理和执法职责。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农业综合服务中心。主要承担农林水等产业新技术、新品种的示范、推广；动植物防疫检疫、病虫害及疫情的检测、预报、防治和处理；畜禽与畜禽产品检疫、检验；森林资源管理、护林防火；水资源管理、防汛抗旱、农田水利建设；农业机械管理；农产品质量安全监测等职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政务服务中心。主要承担文化宣传、广播影视、法制教育、文艺演出、群众体育、科技推广、科普培训、安全生产监管、食品安全监管等职责。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司法所。主要承担司法调处工作。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政府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  <w:lang w:val="en-US" w:eastAsia="zh-CN"/>
        </w:rPr>
        <w:t>机关。承担全镇税收收缴，财政资金收入、调度、使用和监管、主管政府全面工作。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综合执法大队。主要负责辖区内城管、综合治理等职责。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2" w:firstLineChars="200"/>
        <w:textAlignment w:val="auto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  <w:t>（三）人员概况。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Cs/>
          <w:sz w:val="30"/>
          <w:szCs w:val="30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共有在职人员12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人，其中政府机关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5人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司法所3人，社会事务综合服务中心2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人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含城管执法6人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，农业服务中心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49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人，政务服务中心3人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（四）20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年整体支出情况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202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本单位收入决算数为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5,647.65万元(含一般公共预算财政拨款5,271.51万元，政府性基金预算财政拨款2.82万元，其他收入373.32万元），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支出决算数为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5,647.65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万元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（含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基本支出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3,025.54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万元，项目支出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2,622.11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万元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。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本年度实现收支平衡。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default" w:ascii="仿宋_GB2312" w:hAnsi="仿宋_GB2312" w:eastAsia="仿宋_GB2312" w:cs="仿宋_GB2312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2021年支出总额7,202.57万元，本年度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支出决算数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相对上一年度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减少1,554.92万元，下降了21.59%。主要原因为项目支出的减少。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2" w:firstLineChars="200"/>
        <w:textAlignment w:val="auto"/>
        <w:rPr>
          <w:rFonts w:hint="default" w:ascii="仿宋_GB2312" w:hAnsi="仿宋_GB2312" w:eastAsia="仿宋_GB2312" w:cs="仿宋_GB2312"/>
          <w:b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  <w:t>二、</w:t>
      </w:r>
      <w:r>
        <w:rPr>
          <w:rFonts w:hint="eastAsia" w:ascii="仿宋_GB2312" w:hAnsi="仿宋_GB2312" w:eastAsia="仿宋_GB2312" w:cs="仿宋_GB2312"/>
          <w:b/>
          <w:bCs w:val="0"/>
          <w:sz w:val="30"/>
          <w:szCs w:val="30"/>
          <w:lang w:val="en-US" w:eastAsia="zh-CN"/>
        </w:rPr>
        <w:t>部门整体支出管理及使用情况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2" w:firstLineChars="200"/>
        <w:textAlignment w:val="auto"/>
        <w:rPr>
          <w:rFonts w:hint="eastAsia" w:ascii="仿宋_GB2312" w:hAnsi="仿宋_GB2312" w:eastAsia="仿宋_GB2312" w:cs="仿宋_GB2312"/>
          <w:b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  <w:t>（一）基本支出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 xml:space="preserve">基本支出整体情况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0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2022年度本单位基本支出决算数为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  <w:t>3,025.54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万元，占年度总支出的53.57%。相对上一年度基本支出决算数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  <w:t>3,035.38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万元，下降0.32%，基本持平。</w:t>
      </w:r>
    </w:p>
    <w:p>
      <w:pPr>
        <w:pStyle w:val="2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2.基本支出具体情况</w:t>
      </w:r>
    </w:p>
    <w:p>
      <w:pPr>
        <w:pStyle w:val="2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eastAsia="zh-CN"/>
        </w:rPr>
        <w:t>按支出功能科目分类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</w:rPr>
        <w:t>基本支出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  <w:t>具体包括：一般公共服务支出2,165.18万元；社会保障和就业支出337.03万元；卫生健康支出91.79 万元；农林水支出322.70万元；住房保障支出108.84万元。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0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“三公”经费管理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0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</w:rPr>
        <w:t>年“三公”经费预算总额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  <w:t>25.50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</w:rPr>
        <w:t>万元，决算总额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  <w:t>2.38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</w:rPr>
        <w:t>万元，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eastAsia="zh-CN"/>
        </w:rPr>
        <w:t>决算总额为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</w:rPr>
        <w:t>年初预算的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  <w:t>9.33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</w:rPr>
        <w:t>%，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eastAsia="zh-CN"/>
        </w:rPr>
        <w:t>少支出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</w:rPr>
        <w:t>了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  <w:t>23.12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</w:rPr>
        <w:t>万元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eastAsia="zh-CN"/>
        </w:rPr>
        <w:t>；上年度决算总额为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  <w:t>3.19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</w:rPr>
        <w:t>万元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eastAsia="zh-CN"/>
        </w:rPr>
        <w:t>，本年度决算总额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</w:rPr>
        <w:t>较上年减少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  <w:t>0.81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</w:rPr>
        <w:t>万元，下降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  <w:t>25.39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</w:rPr>
        <w:t>%。具体分项说明如下：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0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</w:rPr>
        <w:t>(1)公务接待费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</w:rPr>
        <w:t>年预算安排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  <w:t>25.50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</w:rPr>
        <w:t>万元，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决算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数为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  <w:t>2.38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万元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eastAsia="zh-CN"/>
        </w:rPr>
        <w:t>上年度决算数为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2.53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val="en-US" w:eastAsia="zh-CN"/>
        </w:rPr>
        <w:t>万元，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highlight w:val="none"/>
          <w:lang w:eastAsia="zh-CN"/>
        </w:rPr>
        <w:t>本年度决算数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较</w:t>
      </w:r>
      <w:r>
        <w:rPr>
          <w:rFonts w:hint="eastAsia" w:ascii="仿宋_GB2312" w:hAnsi="仿宋_GB2312" w:eastAsia="仿宋_GB2312" w:cs="仿宋_GB2312"/>
          <w:sz w:val="30"/>
          <w:szCs w:val="30"/>
        </w:rPr>
        <w:t>上年减少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0.15</w:t>
      </w:r>
      <w:r>
        <w:rPr>
          <w:rFonts w:hint="eastAsia" w:ascii="仿宋_GB2312" w:hAnsi="仿宋_GB2312" w:eastAsia="仿宋_GB2312" w:cs="仿宋_GB2312"/>
          <w:sz w:val="30"/>
          <w:szCs w:val="30"/>
        </w:rPr>
        <w:t>万元，下降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了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5.93</w:t>
      </w:r>
      <w:r>
        <w:rPr>
          <w:rFonts w:hint="eastAsia" w:ascii="仿宋_GB2312" w:hAnsi="仿宋_GB2312" w:eastAsia="仿宋_GB2312" w:cs="仿宋_GB2312"/>
          <w:sz w:val="30"/>
          <w:szCs w:val="30"/>
        </w:rPr>
        <w:t>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0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sz w:val="30"/>
          <w:szCs w:val="30"/>
        </w:rPr>
        <w:t>(2)因公出国（境）经费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202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0"/>
          <w:szCs w:val="30"/>
        </w:rPr>
        <w:t>年预算安排0万元，决算0万元。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0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sz w:val="30"/>
          <w:szCs w:val="30"/>
        </w:rPr>
        <w:t>(3)公务用车购置及运行维护费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00" w:firstLineChars="200"/>
        <w:jc w:val="both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202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0"/>
          <w:szCs w:val="30"/>
        </w:rPr>
        <w:t>年预算安排0万元，决算0万元。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0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项目支出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项目支出整体情况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本单位</w:t>
      </w:r>
      <w:r>
        <w:rPr>
          <w:rFonts w:hint="eastAsia" w:ascii="仿宋_GB2312" w:hAnsi="仿宋_GB2312" w:eastAsia="仿宋_GB2312" w:cs="仿宋_GB2312"/>
          <w:sz w:val="30"/>
          <w:szCs w:val="30"/>
        </w:rPr>
        <w:t>项目支出决算数为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2,622.11万元，占年度总支出的46.43%</w:t>
      </w:r>
      <w:r>
        <w:rPr>
          <w:rFonts w:hint="eastAsia" w:ascii="仿宋_GB2312" w:hAnsi="仿宋_GB2312" w:eastAsia="仿宋_GB2312" w:cs="仿宋_GB2312"/>
          <w:sz w:val="30"/>
          <w:szCs w:val="30"/>
        </w:rPr>
        <w:t>。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相对上一年度项目支出决算数4,167.19万元，下降了37.08%。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项目支出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具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 xml:space="preserve">体情况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按支出功能科目分类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具体包括：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一般公共服务支出845.92万元；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公共安全支出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83.90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万元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教育支出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199.80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万元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文化旅游体育与传媒支出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9.52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万元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社会保障和就业支出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154.23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万元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卫生健康支出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39.82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万元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节能环保支出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79.46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万元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城乡社区支出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76.50万元；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农林水支出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369.82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万元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交通运输支出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34.51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万元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商业服务业等支出2.30万元，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住房保障支出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691.32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万元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；灾害防治及应急管理支出35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.00万元。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0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(三)项目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资金使用管理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本单位</w:t>
      </w:r>
      <w:r>
        <w:rPr>
          <w:rFonts w:hint="eastAsia" w:ascii="仿宋_GB2312" w:hAnsi="仿宋_GB2312" w:eastAsia="仿宋_GB2312" w:cs="仿宋_GB2312"/>
          <w:sz w:val="30"/>
          <w:szCs w:val="30"/>
        </w:rPr>
        <w:t>财政所在宁乡市乡镇财政管理局的领导下，认真遵照《宁乡市乡镇财政资金监管实施办法》，积极开展财政资金监管工作。成立了财政资金监管领导小组，对各种财政资金组织开展督促检查。监管小组成员加强学习、熟练业务，积极开展抽查巡查，对每个项目及时做好事前、事中、事后巡查工作，及时开展绩效自评工作，切实做到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0"/>
          <w:szCs w:val="30"/>
        </w:rPr>
        <w:t>用钱必有效，无效必问责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”，</w:t>
      </w:r>
      <w:r>
        <w:rPr>
          <w:rFonts w:hint="eastAsia" w:ascii="仿宋_GB2312" w:hAnsi="仿宋_GB2312" w:eastAsia="仿宋_GB2312" w:cs="仿宋_GB2312"/>
          <w:sz w:val="30"/>
          <w:szCs w:val="30"/>
        </w:rPr>
        <w:t>确保各项目资金的使用符合政策要求并及时到位。部门预决算编报工作严格按照上级通知精神，及时进行上报，做到了账表一致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</w:rPr>
        <w:t>并按相关规定在宁乡市人民政府门户网站上进行公开。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同时，本单位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根据单位实际情况制定了《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白马桥街道办事处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财务管理制度》《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白马桥街道办事处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项目工程管理制度》等制度。</w:t>
      </w:r>
      <w:r>
        <w:rPr>
          <w:rFonts w:hint="eastAsia" w:ascii="仿宋_GB2312" w:hAnsi="仿宋_GB2312" w:eastAsia="仿宋_GB2312" w:cs="仿宋_GB2312"/>
          <w:sz w:val="30"/>
          <w:szCs w:val="30"/>
        </w:rPr>
        <w:t>资金的拨付具有完整的审批程序和手续，项目的重大开支按照财务管理制度及“三重一大”的要求事前经过评估论证。使用范围符合部门预算批复的用途，不存在截留、挤占、挪用、虚列支出等情况，预决算及“三公”经费信息均按规定时限公开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0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（四）资产管理情况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国有资产管理落实到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位</w:t>
      </w:r>
      <w:r>
        <w:rPr>
          <w:rFonts w:hint="eastAsia" w:ascii="仿宋_GB2312" w:hAnsi="仿宋_GB2312" w:eastAsia="仿宋_GB2312" w:cs="仿宋_GB2312"/>
          <w:sz w:val="30"/>
          <w:szCs w:val="30"/>
        </w:rPr>
        <w:t>，已将所属单位国有资产纳入国有资产系统管理，资产变动情况已及时录入系统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，由机关固定资产管理员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陈素平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</w:rPr>
        <w:t>负责管理系统，做到了账实相符，账账相符。严格落实各项审批程序，没有出现资产流失、资产失控和资产价值非正</w:t>
      </w:r>
      <w:r>
        <w:rPr>
          <w:rFonts w:hint="eastAsia" w:ascii="仿宋_GB2312" w:hAnsi="仿宋_GB2312" w:eastAsia="仿宋_GB2312" w:cs="仿宋_GB2312"/>
          <w:sz w:val="30"/>
          <w:szCs w:val="30"/>
        </w:rPr>
        <w:t>常贬值消耗等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情况</w:t>
      </w:r>
      <w:r>
        <w:rPr>
          <w:rFonts w:hint="eastAsia" w:ascii="仿宋_GB2312" w:hAnsi="仿宋_GB2312" w:eastAsia="仿宋_GB2312" w:cs="仿宋_GB2312"/>
          <w:sz w:val="30"/>
          <w:szCs w:val="30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现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</w:rPr>
        <w:t>对我单位本年度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资产管理情况报告如下：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left="0" w:firstLine="600" w:firstLineChars="20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1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highlight w:val="none"/>
          <w:lang w:val="en-US" w:eastAsia="zh-CN"/>
        </w:rPr>
        <w:t>.存量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highlight w:val="none"/>
        </w:rPr>
        <w:t>资产情况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left="0"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sz w:val="30"/>
          <w:szCs w:val="30"/>
          <w:highlight w:val="none"/>
        </w:rPr>
        <w:t>截止到202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highlight w:val="none"/>
        </w:rPr>
        <w:t>年底，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highlight w:val="none"/>
          <w:lang w:eastAsia="zh-CN"/>
        </w:rPr>
        <w:t>本单位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highlight w:val="none"/>
        </w:rPr>
        <w:t>固定资产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highlight w:val="none"/>
          <w:lang w:eastAsia="zh-CN"/>
        </w:rPr>
        <w:t>原值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highlight w:val="none"/>
        </w:rPr>
        <w:t>总额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highlight w:val="none"/>
          <w:lang w:val="en-US" w:eastAsia="zh-CN"/>
        </w:rPr>
        <w:t>480.91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highlight w:val="none"/>
        </w:rPr>
        <w:t>万元，其中，房屋资产为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highlight w:val="none"/>
          <w:lang w:val="en-US" w:eastAsia="zh-CN"/>
        </w:rPr>
        <w:t>311.78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highlight w:val="none"/>
        </w:rPr>
        <w:t>万元，占整个资产总额的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highlight w:val="none"/>
          <w:lang w:val="en-US" w:eastAsia="zh-CN"/>
        </w:rPr>
        <w:t>64.83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highlight w:val="none"/>
        </w:rPr>
        <w:t>%；通用设备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highlight w:val="none"/>
          <w:lang w:val="en-US" w:eastAsia="zh-CN"/>
        </w:rPr>
        <w:t>(含车辆）124.44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highlight w:val="none"/>
        </w:rPr>
        <w:t>万元，占资产总额的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highlight w:val="none"/>
          <w:lang w:val="en-US" w:eastAsia="zh-CN"/>
        </w:rPr>
        <w:t>25.88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highlight w:val="none"/>
        </w:rPr>
        <w:t>%；专用设备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highlight w:val="none"/>
          <w:lang w:val="en-US" w:eastAsia="zh-CN"/>
        </w:rPr>
        <w:t>12.91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highlight w:val="none"/>
        </w:rPr>
        <w:t>万元，占资产总额的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highlight w:val="none"/>
          <w:lang w:val="en-US" w:eastAsia="zh-CN"/>
        </w:rPr>
        <w:t>2.68%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highlight w:val="none"/>
        </w:rPr>
        <w:t>；家具用具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highlight w:val="none"/>
          <w:lang w:val="en-US" w:eastAsia="zh-CN"/>
        </w:rPr>
        <w:t>31.77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highlight w:val="none"/>
        </w:rPr>
        <w:t>万元，占资产总额的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highlight w:val="none"/>
          <w:lang w:val="en-US" w:eastAsia="zh-CN"/>
        </w:rPr>
        <w:t>6.61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highlight w:val="none"/>
        </w:rPr>
        <w:t>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00" w:firstLineChars="200"/>
        <w:jc w:val="both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  <w:highlight w:val="none"/>
        </w:rPr>
        <w:t>202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  <w:highlight w:val="none"/>
        </w:rPr>
        <w:t>年度，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  <w:highlight w:val="none"/>
          <w:lang w:eastAsia="zh-CN"/>
        </w:rPr>
        <w:t>本单位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  <w:highlight w:val="none"/>
        </w:rPr>
        <w:t>资产配置情况正常，其中固定资产</w:t>
      </w:r>
      <w:r>
        <w:rPr>
          <w:rFonts w:hint="eastAsia" w:ascii="仿宋_GB2312" w:hAnsi="仿宋_GB2312" w:eastAsia="仿宋_GB2312" w:cs="仿宋_GB2312"/>
          <w:color w:val="333333"/>
          <w:sz w:val="30"/>
          <w:szCs w:val="30"/>
          <w:highlight w:val="none"/>
          <w:lang w:val="en-US" w:eastAsia="zh-CN"/>
        </w:rPr>
        <w:t>480.91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  <w:highlight w:val="none"/>
        </w:rPr>
        <w:t>万元，计提折旧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  <w:highlight w:val="none"/>
          <w:lang w:val="en-US" w:eastAsia="zh-CN"/>
        </w:rPr>
        <w:t>180.10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  <w:highlight w:val="none"/>
        </w:rPr>
        <w:t>万元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  <w:highlight w:val="none"/>
        </w:rPr>
        <w:t>固定资产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  <w:highlight w:val="none"/>
          <w:lang w:val="en-US" w:eastAsia="zh-CN"/>
        </w:rPr>
        <w:t>净值300.81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  <w:highlight w:val="none"/>
        </w:rPr>
        <w:t>万元；在建工程期末为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  <w:highlight w:val="none"/>
          <w:lang w:val="en-US" w:eastAsia="zh-CN"/>
        </w:rPr>
        <w:t>2,096.41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  <w:highlight w:val="none"/>
        </w:rPr>
        <w:t>万元，相比年初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  <w:highlight w:val="none"/>
          <w:lang w:val="en-US" w:eastAsia="zh-CN"/>
        </w:rPr>
        <w:t>2,066.00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  <w:highlight w:val="none"/>
        </w:rPr>
        <w:t>万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  <w:highlight w:val="none"/>
          <w:lang w:eastAsia="zh-CN"/>
        </w:rPr>
        <w:t>元，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  <w:highlight w:val="none"/>
        </w:rPr>
        <w:t>增加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  <w:highlight w:val="none"/>
          <w:lang w:eastAsia="zh-CN"/>
        </w:rPr>
        <w:t>了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  <w:highlight w:val="none"/>
          <w:lang w:val="en-US" w:eastAsia="zh-CN"/>
        </w:rPr>
        <w:t>30.41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  <w:highlight w:val="none"/>
        </w:rPr>
        <w:t>万元。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  <w:highlight w:val="none"/>
        </w:rPr>
        <w:t>3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  <w:highlight w:val="none"/>
        </w:rPr>
        <w:t>本单位没有利用国有资产对外投资、出租出借国有资产情况。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00" w:firstLineChars="200"/>
        <w:jc w:val="both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</w:rPr>
        <w:t>4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</w:rPr>
        <w:t>本单位的资产基本能够满足履行职能的需要，没有空置和浪费现象。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0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0"/>
          <w:szCs w:val="30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0"/>
          <w:szCs w:val="30"/>
        </w:rPr>
        <w:t>整体支出绩效情况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202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color w:val="auto"/>
          <w:spacing w:val="-6"/>
          <w:sz w:val="30"/>
          <w:szCs w:val="30"/>
          <w:lang w:val="en-US" w:eastAsia="zh-CN"/>
        </w:rPr>
        <w:t>街道</w:t>
      </w:r>
      <w:r>
        <w:rPr>
          <w:rFonts w:hint="eastAsia" w:ascii="仿宋_GB2312" w:hAnsi="仿宋_GB2312" w:eastAsia="仿宋_GB2312" w:cs="仿宋_GB2312"/>
          <w:spacing w:val="0"/>
          <w:sz w:val="30"/>
          <w:szCs w:val="30"/>
        </w:rPr>
        <w:t>实现地方一般预算收入1.21亿元，完成任务的73.4</w:t>
      </w:r>
      <w:r>
        <w:rPr>
          <w:rFonts w:hint="eastAsia" w:ascii="仿宋_GB2312" w:hAnsi="仿宋_GB2312" w:eastAsia="仿宋_GB2312" w:cs="仿宋_GB2312"/>
          <w:spacing w:val="0"/>
          <w:sz w:val="30"/>
          <w:szCs w:val="30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pacing w:val="0"/>
          <w:sz w:val="30"/>
          <w:szCs w:val="30"/>
        </w:rPr>
        <w:t>%；固定资产投资40亿元，完成任务的83.3</w:t>
      </w:r>
      <w:r>
        <w:rPr>
          <w:rFonts w:hint="eastAsia" w:ascii="仿宋_GB2312" w:hAnsi="仿宋_GB2312" w:eastAsia="仿宋_GB2312" w:cs="仿宋_GB2312"/>
          <w:spacing w:val="0"/>
          <w:sz w:val="30"/>
          <w:szCs w:val="30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pacing w:val="0"/>
          <w:sz w:val="30"/>
          <w:szCs w:val="30"/>
        </w:rPr>
        <w:t>%；规模工业总产值6.58亿元，完成任务的100%，同比增长13.8</w:t>
      </w:r>
      <w:r>
        <w:rPr>
          <w:rFonts w:hint="eastAsia" w:ascii="仿宋_GB2312" w:hAnsi="仿宋_GB2312" w:eastAsia="仿宋_GB2312" w:cs="仿宋_GB2312"/>
          <w:spacing w:val="0"/>
          <w:sz w:val="30"/>
          <w:szCs w:val="30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pacing w:val="0"/>
          <w:sz w:val="30"/>
          <w:szCs w:val="30"/>
        </w:rPr>
        <w:t>%；社会消费品零售总额13.32亿元，同比增长7.8</w:t>
      </w:r>
      <w:r>
        <w:rPr>
          <w:rFonts w:hint="eastAsia" w:ascii="仿宋_GB2312" w:hAnsi="仿宋_GB2312" w:eastAsia="仿宋_GB2312" w:cs="仿宋_GB2312"/>
          <w:spacing w:val="0"/>
          <w:sz w:val="30"/>
          <w:szCs w:val="30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pacing w:val="0"/>
          <w:sz w:val="30"/>
          <w:szCs w:val="30"/>
        </w:rPr>
        <w:t>%；新增入规商贸企业8家，服务业4家，发展市场主体1616家，完成任务的126.3</w:t>
      </w:r>
      <w:r>
        <w:rPr>
          <w:rFonts w:hint="eastAsia" w:ascii="仿宋_GB2312" w:hAnsi="仿宋_GB2312" w:eastAsia="仿宋_GB2312" w:cs="仿宋_GB2312"/>
          <w:spacing w:val="0"/>
          <w:sz w:val="30"/>
          <w:szCs w:val="30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pacing w:val="0"/>
          <w:sz w:val="30"/>
          <w:szCs w:val="30"/>
        </w:rPr>
        <w:t>%，经济运行总体平稳</w:t>
      </w:r>
      <w:r>
        <w:rPr>
          <w:rFonts w:hint="eastAsia" w:ascii="仿宋_GB2312" w:hAnsi="仿宋_GB2312" w:eastAsia="仿宋_GB2312" w:cs="仿宋_GB2312"/>
          <w:spacing w:val="0"/>
          <w:sz w:val="30"/>
          <w:szCs w:val="30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0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sz w:val="30"/>
          <w:szCs w:val="30"/>
        </w:rPr>
        <w:t>推动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</w:rPr>
        <w:t>社会大局安全稳定。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0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1.坚持党建引领，凝聚基层治理强大合力</w:t>
      </w:r>
      <w:r>
        <w:rPr>
          <w:rFonts w:hint="eastAsia" w:ascii="仿宋_GB2312" w:hAnsi="仿宋_GB2312" w:eastAsia="仿宋_GB2312" w:cs="仿宋_GB2312"/>
          <w:color w:val="auto"/>
          <w:kern w:val="2"/>
          <w:sz w:val="30"/>
          <w:szCs w:val="30"/>
          <w:lang w:val="en-US" w:eastAsia="zh-CN" w:bidi="ar-SA"/>
        </w:rPr>
        <w:t>。</w:t>
      </w:r>
      <w:r>
        <w:rPr>
          <w:rFonts w:hint="eastAsia" w:ascii="仿宋_GB2312" w:hAnsi="仿宋_GB2312" w:eastAsia="仿宋_GB2312" w:cs="仿宋_GB2312"/>
          <w:color w:val="auto"/>
          <w:spacing w:val="0"/>
          <w:sz w:val="30"/>
          <w:szCs w:val="30"/>
          <w:lang w:val="en-US" w:eastAsia="zh-CN"/>
        </w:rPr>
        <w:t>全年中心组织学习14次，带头讲党课4次，入社区小区宣讲4次。邀请知名讲师宣讲5次，轮训党员1200人次。</w:t>
      </w:r>
      <w:r>
        <w:rPr>
          <w:rFonts w:hint="eastAsia" w:ascii="仿宋_GB2312" w:hAnsi="仿宋_GB2312" w:eastAsia="仿宋_GB2312" w:cs="仿宋_GB2312"/>
          <w:color w:val="auto"/>
          <w:spacing w:val="-6"/>
          <w:sz w:val="30"/>
          <w:szCs w:val="30"/>
          <w:lang w:val="en-US" w:eastAsia="zh-CN"/>
        </w:rPr>
        <w:t>持续推进</w:t>
      </w:r>
      <w:r>
        <w:rPr>
          <w:rFonts w:hint="eastAsia" w:ascii="仿宋_GB2312" w:hAnsi="仿宋_GB2312" w:eastAsia="仿宋_GB2312" w:cs="仿宋_GB2312"/>
          <w:color w:val="auto"/>
          <w:spacing w:val="-6"/>
          <w:sz w:val="30"/>
          <w:szCs w:val="30"/>
        </w:rPr>
        <w:t>支部</w:t>
      </w:r>
      <w:r>
        <w:rPr>
          <w:rFonts w:hint="eastAsia" w:ascii="仿宋_GB2312" w:hAnsi="仿宋_GB2312" w:eastAsia="仿宋_GB2312" w:cs="仿宋_GB2312"/>
          <w:color w:val="auto"/>
          <w:spacing w:val="-6"/>
          <w:sz w:val="30"/>
          <w:szCs w:val="30"/>
          <w:lang w:val="en-US" w:eastAsia="zh-CN"/>
        </w:rPr>
        <w:t>规范建设</w:t>
      </w:r>
      <w:r>
        <w:rPr>
          <w:rFonts w:hint="eastAsia" w:ascii="仿宋_GB2312" w:hAnsi="仿宋_GB2312" w:eastAsia="仿宋_GB2312" w:cs="仿宋_GB2312"/>
          <w:color w:val="auto"/>
          <w:spacing w:val="-6"/>
          <w:sz w:val="30"/>
          <w:szCs w:val="30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sz w:val="30"/>
          <w:szCs w:val="30"/>
          <w:lang w:val="en-US" w:eastAsia="zh-CN"/>
        </w:rPr>
        <w:t>全力落实整建提质任务，凤祥、龙江两个社区涉电诈涉危房问题均整治到位；</w:t>
      </w:r>
      <w:r>
        <w:rPr>
          <w:rFonts w:hint="eastAsia" w:ascii="仿宋_GB2312" w:hAnsi="仿宋_GB2312" w:eastAsia="仿宋_GB2312" w:cs="仿宋_GB2312"/>
          <w:color w:val="auto"/>
          <w:spacing w:val="-6"/>
          <w:sz w:val="30"/>
          <w:szCs w:val="30"/>
        </w:rPr>
        <w:t>引导</w:t>
      </w:r>
      <w:r>
        <w:rPr>
          <w:rFonts w:hint="eastAsia" w:ascii="仿宋_GB2312" w:hAnsi="仿宋_GB2312" w:eastAsia="仿宋_GB2312" w:cs="仿宋_GB2312"/>
          <w:color w:val="auto"/>
          <w:spacing w:val="-6"/>
          <w:sz w:val="30"/>
          <w:szCs w:val="30"/>
          <w:lang w:val="en-US" w:eastAsia="zh-CN"/>
        </w:rPr>
        <w:t>行业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2"/>
          <w:sz w:val="30"/>
          <w:szCs w:val="30"/>
          <w:lang w:val="en-US" w:eastAsia="zh-CN" w:bidi="ar-SA"/>
        </w:rPr>
        <w:t>领域</w:t>
      </w:r>
      <w:r>
        <w:rPr>
          <w:rFonts w:hint="eastAsia" w:ascii="仿宋_GB2312" w:hAnsi="仿宋_GB2312" w:eastAsia="仿宋_GB2312" w:cs="仿宋_GB2312"/>
          <w:color w:val="auto"/>
          <w:spacing w:val="-6"/>
          <w:sz w:val="30"/>
          <w:szCs w:val="30"/>
        </w:rPr>
        <w:t>组织建设</w:t>
      </w:r>
      <w:r>
        <w:rPr>
          <w:rFonts w:hint="eastAsia" w:ascii="仿宋_GB2312" w:hAnsi="仿宋_GB2312" w:eastAsia="仿宋_GB2312" w:cs="仿宋_GB2312"/>
          <w:color w:val="auto"/>
          <w:spacing w:val="-6"/>
          <w:sz w:val="30"/>
          <w:szCs w:val="30"/>
          <w:lang w:eastAsia="zh-CN"/>
        </w:rPr>
        <w:t>，新建“两新”党组织8个，</w:t>
      </w:r>
      <w:r>
        <w:rPr>
          <w:rFonts w:hint="eastAsia" w:ascii="仿宋_GB2312" w:hAnsi="仿宋_GB2312" w:eastAsia="仿宋_GB2312" w:cs="仿宋_GB2312"/>
          <w:color w:val="auto"/>
          <w:spacing w:val="-6"/>
          <w:sz w:val="30"/>
          <w:szCs w:val="30"/>
          <w:lang w:val="en-US" w:eastAsia="zh-CN"/>
        </w:rPr>
        <w:t>建成</w:t>
      </w:r>
      <w:r>
        <w:rPr>
          <w:rFonts w:hint="eastAsia" w:ascii="仿宋_GB2312" w:hAnsi="仿宋_GB2312" w:eastAsia="仿宋_GB2312" w:cs="仿宋_GB2312"/>
          <w:color w:val="auto"/>
          <w:spacing w:val="-6"/>
          <w:sz w:val="30"/>
          <w:szCs w:val="30"/>
        </w:rPr>
        <w:t>吾悦“快递外卖小哥之家”</w:t>
      </w:r>
      <w:r>
        <w:rPr>
          <w:rFonts w:hint="eastAsia" w:ascii="仿宋_GB2312" w:hAnsi="仿宋_GB2312" w:eastAsia="仿宋_GB2312" w:cs="仿宋_GB2312"/>
          <w:color w:val="auto"/>
          <w:spacing w:val="-6"/>
          <w:sz w:val="30"/>
          <w:szCs w:val="30"/>
          <w:lang w:eastAsia="zh-CN"/>
        </w:rPr>
        <w:t>，实现组织覆盖率81.25%、工作覆盖率100%。</w:t>
      </w:r>
      <w:r>
        <w:rPr>
          <w:rFonts w:hint="eastAsia" w:ascii="仿宋_GB2312" w:hAnsi="仿宋_GB2312" w:eastAsia="仿宋_GB2312" w:cs="仿宋_GB2312"/>
          <w:color w:val="auto"/>
          <w:spacing w:val="-6"/>
          <w:sz w:val="30"/>
          <w:szCs w:val="30"/>
          <w:lang w:val="en-US" w:eastAsia="zh-CN"/>
        </w:rPr>
        <w:t>与此同时，</w:t>
      </w:r>
      <w:r>
        <w:rPr>
          <w:rFonts w:hint="eastAsia" w:ascii="仿宋_GB2312" w:hAnsi="仿宋_GB2312" w:eastAsia="仿宋_GB2312" w:cs="仿宋_GB2312"/>
          <w:color w:val="auto"/>
          <w:spacing w:val="0"/>
          <w:sz w:val="30"/>
          <w:szCs w:val="30"/>
        </w:rPr>
        <w:t>严肃党内政治生活，</w:t>
      </w:r>
      <w:r>
        <w:rPr>
          <w:rFonts w:hint="eastAsia" w:ascii="仿宋_GB2312" w:hAnsi="仿宋_GB2312" w:eastAsia="仿宋_GB2312" w:cs="仿宋_GB2312"/>
          <w:color w:val="auto"/>
          <w:spacing w:val="0"/>
          <w:sz w:val="30"/>
          <w:szCs w:val="30"/>
          <w:lang w:val="en-US" w:eastAsia="zh-CN"/>
        </w:rPr>
        <w:t>严格党员教育管理</w:t>
      </w:r>
      <w:r>
        <w:rPr>
          <w:rFonts w:hint="eastAsia" w:ascii="仿宋_GB2312" w:hAnsi="仿宋_GB2312" w:eastAsia="仿宋_GB2312" w:cs="仿宋_GB2312"/>
          <w:color w:val="auto"/>
          <w:spacing w:val="0"/>
          <w:sz w:val="30"/>
          <w:szCs w:val="30"/>
        </w:rPr>
        <w:t>，补齐配强3名社区干部，帮促17名社区干部能力提升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2"/>
          <w:sz w:val="30"/>
          <w:szCs w:val="30"/>
          <w:lang w:val="en-US" w:eastAsia="zh-CN" w:bidi="ar-SA"/>
        </w:rPr>
        <w:t>。</w:t>
      </w:r>
      <w:r>
        <w:rPr>
          <w:rFonts w:hint="eastAsia" w:ascii="仿宋_GB2312" w:hAnsi="仿宋_GB2312" w:eastAsia="仿宋_GB2312" w:cs="仿宋_GB2312"/>
          <w:color w:val="auto"/>
          <w:spacing w:val="0"/>
          <w:sz w:val="30"/>
          <w:szCs w:val="30"/>
          <w:lang w:val="en-US" w:eastAsia="zh-CN"/>
        </w:rPr>
        <w:t>全年</w:t>
      </w:r>
      <w:r>
        <w:rPr>
          <w:rFonts w:hint="eastAsia" w:ascii="仿宋_GB2312" w:hAnsi="仿宋_GB2312" w:eastAsia="仿宋_GB2312" w:cs="仿宋_GB2312"/>
          <w:color w:val="auto"/>
          <w:spacing w:val="0"/>
          <w:sz w:val="30"/>
          <w:szCs w:val="30"/>
        </w:rPr>
        <w:t>发展党员7人，</w:t>
      </w:r>
      <w:r>
        <w:rPr>
          <w:rFonts w:hint="eastAsia" w:ascii="仿宋_GB2312" w:hAnsi="仿宋_GB2312" w:eastAsia="仿宋_GB2312" w:cs="仿宋_GB2312"/>
          <w:color w:val="auto"/>
          <w:spacing w:val="0"/>
          <w:sz w:val="30"/>
          <w:szCs w:val="30"/>
          <w:lang w:val="en-US" w:eastAsia="zh-CN"/>
        </w:rPr>
        <w:t>如期</w:t>
      </w:r>
      <w:r>
        <w:rPr>
          <w:rFonts w:hint="eastAsia" w:ascii="仿宋_GB2312" w:hAnsi="仿宋_GB2312" w:eastAsia="仿宋_GB2312" w:cs="仿宋_GB2312"/>
          <w:color w:val="auto"/>
          <w:spacing w:val="0"/>
          <w:sz w:val="30"/>
          <w:szCs w:val="30"/>
        </w:rPr>
        <w:t>转正34人。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2"/>
          <w:sz w:val="30"/>
          <w:szCs w:val="30"/>
          <w:lang w:val="en-US" w:eastAsia="zh-CN" w:bidi="ar-SA"/>
        </w:rPr>
        <w:t>积极推动党员“三亮三比”行动，</w:t>
      </w:r>
      <w:r>
        <w:rPr>
          <w:rFonts w:hint="eastAsia" w:ascii="仿宋_GB2312" w:hAnsi="仿宋_GB2312" w:eastAsia="仿宋_GB2312" w:cs="仿宋_GB2312"/>
          <w:color w:val="auto"/>
          <w:spacing w:val="0"/>
          <w:sz w:val="30"/>
          <w:szCs w:val="30"/>
        </w:rPr>
        <w:t>挂牌党员之家1320户，精准安排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2"/>
          <w:sz w:val="30"/>
          <w:szCs w:val="30"/>
          <w:lang w:val="en-US" w:eastAsia="zh-CN" w:bidi="ar-SA"/>
        </w:rPr>
        <w:t>1448名党员干部联系7405户，</w:t>
      </w:r>
      <w:r>
        <w:rPr>
          <w:rFonts w:hint="eastAsia" w:ascii="仿宋_GB2312" w:hAnsi="仿宋_GB2312" w:eastAsia="仿宋_GB2312" w:cs="仿宋_GB2312"/>
          <w:color w:val="auto"/>
          <w:spacing w:val="0"/>
          <w:sz w:val="30"/>
          <w:szCs w:val="30"/>
          <w:lang w:val="en-US" w:eastAsia="zh-CN"/>
        </w:rPr>
        <w:t>积极引导</w:t>
      </w:r>
      <w:r>
        <w:rPr>
          <w:rFonts w:hint="eastAsia" w:ascii="仿宋_GB2312" w:hAnsi="仿宋_GB2312" w:eastAsia="仿宋_GB2312" w:cs="仿宋_GB2312"/>
          <w:color w:val="auto"/>
          <w:spacing w:val="0"/>
          <w:sz w:val="30"/>
          <w:szCs w:val="30"/>
        </w:rPr>
        <w:t>群众参与志愿服务和社区治理。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2"/>
          <w:sz w:val="30"/>
          <w:szCs w:val="30"/>
          <w:lang w:val="en-US" w:eastAsia="zh-CN" w:bidi="ar-SA"/>
        </w:rPr>
        <w:t>通过党员“敲门行动”入户宣传，</w:t>
      </w:r>
      <w:r>
        <w:rPr>
          <w:rFonts w:hint="eastAsia" w:ascii="仿宋_GB2312" w:hAnsi="仿宋_GB2312" w:eastAsia="仿宋_GB2312" w:cs="仿宋_GB2312"/>
          <w:color w:val="auto"/>
          <w:spacing w:val="0"/>
          <w:sz w:val="30"/>
          <w:szCs w:val="30"/>
        </w:rPr>
        <w:t>全年收集</w:t>
      </w:r>
      <w:r>
        <w:rPr>
          <w:rFonts w:hint="eastAsia" w:ascii="仿宋_GB2312" w:hAnsi="仿宋_GB2312" w:eastAsia="仿宋_GB2312" w:cs="仿宋_GB2312"/>
          <w:color w:val="auto"/>
          <w:spacing w:val="0"/>
          <w:sz w:val="30"/>
          <w:szCs w:val="30"/>
          <w:lang w:val="en-US" w:eastAsia="zh-CN"/>
        </w:rPr>
        <w:t>群众</w:t>
      </w:r>
      <w:r>
        <w:rPr>
          <w:rFonts w:hint="eastAsia" w:ascii="仿宋_GB2312" w:hAnsi="仿宋_GB2312" w:eastAsia="仿宋_GB2312" w:cs="仿宋_GB2312"/>
          <w:color w:val="auto"/>
          <w:spacing w:val="0"/>
          <w:sz w:val="30"/>
          <w:szCs w:val="30"/>
        </w:rPr>
        <w:t>问题174个，解决168个</w:t>
      </w:r>
      <w:r>
        <w:rPr>
          <w:rFonts w:hint="eastAsia" w:ascii="仿宋_GB2312" w:hAnsi="仿宋_GB2312" w:eastAsia="仿宋_GB2312" w:cs="仿宋_GB2312"/>
          <w:color w:val="auto"/>
          <w:spacing w:val="0"/>
          <w:sz w:val="30"/>
          <w:szCs w:val="30"/>
          <w:lang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2"/>
          <w:sz w:val="30"/>
          <w:szCs w:val="30"/>
          <w:lang w:val="en-US" w:eastAsia="zh-CN" w:bidi="ar-SA"/>
        </w:rPr>
        <w:t>全年电信诈骗发案数同比下降52%，12345市长热线工单解决率83.30%，办理满意率99%；</w:t>
      </w:r>
      <w:r>
        <w:rPr>
          <w:rFonts w:hint="eastAsia" w:ascii="仿宋_GB2312" w:hAnsi="仿宋_GB2312" w:eastAsia="仿宋_GB2312" w:cs="仿宋_GB2312"/>
          <w:color w:val="auto"/>
          <w:spacing w:val="0"/>
          <w:sz w:val="30"/>
          <w:szCs w:val="30"/>
        </w:rPr>
        <w:t>全年督查通报12期，查办违纪党员5人，以严肃问责推动工作落实。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2"/>
          <w:sz w:val="30"/>
          <w:szCs w:val="30"/>
          <w:lang w:val="en-US" w:eastAsia="zh-CN" w:bidi="ar-SA"/>
        </w:rPr>
        <w:t>广大党员干部恪尽职守，主动作为，体现了极强的战斗力、执行力。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firstLine="60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pacing w:val="-6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0"/>
          <w:szCs w:val="30"/>
          <w:lang w:val="en-US" w:eastAsia="zh-CN"/>
        </w:rPr>
        <w:t>2.坚持守正创新，促进街道经济提质增效。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2"/>
          <w:sz w:val="30"/>
          <w:szCs w:val="30"/>
          <w:lang w:val="en-US" w:eastAsia="zh-CN" w:bidi="ar-SA"/>
        </w:rPr>
        <w:t>完成白马片区35栋52户房屋拆迁，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6"/>
          <w:kern w:val="2"/>
          <w:sz w:val="30"/>
          <w:szCs w:val="30"/>
          <w:lang w:val="en-US" w:eastAsia="zh-CN" w:bidi="ar-SA"/>
        </w:rPr>
        <w:t>释放优质用地近400亩，全年完成征地191亩。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pacing w:val="-6"/>
          <w:sz w:val="30"/>
          <w:szCs w:val="30"/>
          <w:shd w:val="clear" w:color="auto" w:fill="FFFFFF"/>
          <w:lang w:eastAsia="zh-CN"/>
        </w:rPr>
        <w:t>大力实施“双百工程”，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0"/>
          <w:szCs w:val="30"/>
          <w:lang w:val="en-US" w:eastAsia="zh-CN"/>
        </w:rPr>
        <w:t>扎实推进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0"/>
          <w:szCs w:val="30"/>
        </w:rPr>
        <w:t>“放管服”改革，不断优化政务环境、法治环境、服务环境、配套环境，联合辖区派出所、城管部门，对企业周边治安环境和“乱点、乱象”进行综合治理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0"/>
          <w:szCs w:val="30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6"/>
          <w:kern w:val="2"/>
          <w:sz w:val="30"/>
          <w:szCs w:val="30"/>
          <w:lang w:val="en-US" w:eastAsia="zh-CN" w:bidi="ar-SA"/>
        </w:rPr>
        <w:t>全年引进总部经济项目4家，实现税收389万元。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lang w:val="en-US" w:eastAsia="zh-CN"/>
        </w:rPr>
        <w:t>3.坚持对标一流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</w:rPr>
        <w:t>推动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lang w:eastAsia="zh-CN"/>
        </w:rPr>
        <w:t>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</w:rPr>
        <w:t>城市品质再上台阶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0"/>
          <w:szCs w:val="30"/>
        </w:rPr>
        <w:t>全年共争取资金6200万元。其中，3500万元用于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0"/>
          <w:szCs w:val="30"/>
          <w:lang w:val="en-US" w:eastAsia="zh-CN"/>
        </w:rPr>
        <w:t>仁福路、金龙路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0"/>
          <w:szCs w:val="30"/>
        </w:rPr>
        <w:t>提质改造；2000万元用于辖区自来水、燃气管网改善提质；500万元用于水果市场提质改造；200万元用于长沙市百街千巷10条背街小巷提质建设，持续完善基础设施。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0"/>
          <w:szCs w:val="30"/>
          <w:lang w:val="en-US" w:eastAsia="zh-CN"/>
        </w:rPr>
        <w:t>全力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0"/>
          <w:szCs w:val="30"/>
        </w:rPr>
        <w:t>配合推动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6"/>
          <w:sz w:val="30"/>
          <w:szCs w:val="30"/>
        </w:rPr>
        <w:t>宁韶高速、仁福路建成通车，实现交通更畅；五福广场、白龙路广场提质扩容，实现环境更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0"/>
          <w:szCs w:val="30"/>
        </w:rPr>
        <w:t>美、居住更宜。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lang w:val="en-US" w:eastAsia="zh-CN"/>
        </w:rPr>
        <w:t>4.坚持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</w:rPr>
        <w:t>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lang w:val="en-US" w:eastAsia="zh-CN"/>
        </w:rPr>
        <w:t>牢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</w:rPr>
        <w:t>责任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lang w:val="en-US" w:eastAsia="zh-CN"/>
        </w:rPr>
        <w:t>维护社会大局安全稳定。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0"/>
          <w:szCs w:val="30"/>
        </w:rPr>
        <w:t>紧抓自建房、消防安全、道路交通、食品安全等领域安全风险防范，扎实推进“大宣传、大排查、大整治”行动，全年排查处置各类安全隐患926处，下达责令整改文书80份，取缔非法生产加工场所4处、烟花爆竹非法销售点6处，收缴烟花鞭炮1100件（约18万元），关停消防不达标家庭旅馆9家，立案查处违规企业14家；按要求落实自建房排查整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0"/>
          <w:szCs w:val="30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</w:rPr>
        <w:t>共排查居民自建房屋5531栋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2"/>
          <w:sz w:val="30"/>
          <w:szCs w:val="30"/>
          <w:lang w:val="en-US" w:eastAsia="zh-CN" w:bidi="ar-SA"/>
        </w:rPr>
        <w:t>整治自建房结构性安全隐患311栋、拆迁10栋，签订房屋鉴定协议1063栋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</w:rPr>
        <w:t>，出具《鉴定报告》660份，备案474份。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0"/>
          <w:szCs w:val="30"/>
        </w:rPr>
        <w:t>全年妥善处理网络舆情50起，调处各类矛盾纠纷793起，未发生较大负面舆情。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lang w:val="en-US" w:eastAsia="zh-CN"/>
        </w:rPr>
        <w:t>5.坚持人民至上，实现群众幸福指数不断攀升。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0"/>
          <w:szCs w:val="30"/>
          <w:lang w:val="en-US" w:eastAsia="zh-CN"/>
        </w:rPr>
        <w:t>全面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0"/>
          <w:szCs w:val="30"/>
        </w:rPr>
        <w:t>落实五保、低保、医保、养保等保障政策。医保、养保缴纳名列全市前茅，全力推进乡村振兴与脱贫攻坚有效衔接工作。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0"/>
          <w:szCs w:val="30"/>
          <w:shd w:val="clear" w:color="auto" w:fill="FFFFFF"/>
          <w:lang w:val="en-US" w:eastAsia="zh-CN" w:bidi="ar"/>
        </w:rPr>
        <w:t>筹资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lang w:val="en-US" w:eastAsia="zh-CN"/>
        </w:rPr>
        <w:t>2800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0"/>
          <w:szCs w:val="30"/>
          <w:shd w:val="clear" w:color="auto" w:fill="FFFFFF"/>
          <w:lang w:val="en-US" w:eastAsia="zh-CN" w:bidi="ar"/>
        </w:rPr>
        <w:t>万元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</w:rPr>
        <w:t>新建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lang w:val="en-US" w:eastAsia="zh-CN"/>
        </w:rPr>
        <w:t>振江小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</w:rPr>
        <w:t>学、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lang w:val="en-US" w:eastAsia="zh-CN"/>
        </w:rPr>
        <w:t>吾悦幼儿园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</w:rPr>
        <w:t>，新增学位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lang w:val="en-US" w:eastAsia="zh-CN"/>
        </w:rPr>
        <w:t>1980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</w:rPr>
        <w:t>个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lang w:val="en-US" w:eastAsia="zh-CN"/>
        </w:rPr>
        <w:t>小学学位1620个，幼儿园360个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0"/>
          <w:szCs w:val="30"/>
        </w:rPr>
        <w:t>完成丽水佳园、肉食公司、盐业公司老旧小区改造提质；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</w:rPr>
        <w:t>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lang w:val="en-US" w:eastAsia="zh-CN"/>
        </w:rPr>
        <w:t>取资金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</w:rPr>
        <w:t>5500万元，启动华港、缇香美岸、馨香园、公园道一号、水岸星城和黑金时代6个既有小区品质提升工作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lang w:val="en-US" w:eastAsia="zh-CN"/>
        </w:rPr>
        <w:t>通过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</w:rPr>
        <w:t>不断完善公共基础配套建设，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0"/>
          <w:szCs w:val="30"/>
          <w:shd w:val="clear" w:color="auto" w:fill="FFFFFF"/>
          <w:lang w:bidi="ar"/>
        </w:rPr>
        <w:t>居民幸福感、满意度得到大幅提升。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0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lang w:val="en-US" w:eastAsia="zh-CN"/>
        </w:rPr>
        <w:t>特色亮点工作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baseline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争资筹资惠民生。向上争资6000万元，已到位5538万元，其中将投入3500万元用于黑金时代片区提质改造；1938万元用于辖区自来水、燃气管网改善提质，500万元用于水果市场提质改造。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baseline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基层治理新模式。牢固树立一切工作到网格的鲜明导向，今年，实行机关干部联小区、社区干部联自然组工作机制，细化划分151个网格，每个网格干部联系230-250户不等；针对1000户以上的小区，街道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选派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8名骨干担任党建指导员，重点解决小区治理管理难题。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baseline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城市品质新提升。引领广大市民积极参与文明城市建设，大力改善人居环境，较好地完成长沙市百街千巷10条道路的整治</w:t>
      </w:r>
      <w:r>
        <w:rPr>
          <w:rFonts w:hint="eastAsia" w:ascii="仿宋_GB2312" w:hAnsi="仿宋_GB2312" w:eastAsia="仿宋_GB2312" w:cs="仿宋_GB2312"/>
          <w:color w:val="auto"/>
          <w:spacing w:val="-6"/>
          <w:sz w:val="30"/>
          <w:szCs w:val="30"/>
        </w:rPr>
        <w:t>任务，正农北路争创长沙市美丽文明街巷，争取奖金100万元。全面完成丽水佳园、肉食公司、盐业公司老旧小区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改造提质。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0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0"/>
          <w:szCs w:val="30"/>
          <w:lang w:val="en-US" w:eastAsia="zh-CN"/>
        </w:rPr>
        <w:t>存在的问题及建议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0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0"/>
          <w:szCs w:val="30"/>
          <w:highlight w:val="none"/>
          <w:lang w:val="en-US" w:eastAsia="zh-CN"/>
        </w:rPr>
        <w:t>单位年度预算调整幅度较大，预算</w:t>
      </w:r>
      <w:r>
        <w:rPr>
          <w:rFonts w:hint="eastAsia" w:ascii="仿宋_GB2312" w:hAnsi="仿宋_GB2312" w:eastAsia="仿宋_GB2312" w:cs="仿宋_GB2312"/>
          <w:bCs/>
          <w:sz w:val="30"/>
          <w:szCs w:val="30"/>
          <w:highlight w:val="none"/>
          <w:lang w:eastAsia="zh-CN"/>
        </w:rPr>
        <w:t>编制欠精准。应</w:t>
      </w:r>
      <w:r>
        <w:rPr>
          <w:rFonts w:hint="eastAsia" w:ascii="仿宋_GB2312" w:hAnsi="仿宋_GB2312" w:eastAsia="仿宋_GB2312" w:cs="仿宋_GB2312"/>
          <w:bCs/>
          <w:sz w:val="30"/>
          <w:szCs w:val="30"/>
          <w:highlight w:val="none"/>
        </w:rPr>
        <w:t>进一步强化预算管理意识，预算编制前多与有关各方做好沟通衔接，提高预算编制的科学性、合理性、准确性和可控性。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0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0"/>
          <w:szCs w:val="30"/>
          <w:lang w:val="en-US" w:eastAsia="zh-CN"/>
        </w:rPr>
        <w:t>下一步改进的措施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0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0"/>
          <w:szCs w:val="30"/>
          <w:highlight w:val="none"/>
          <w:lang w:val="en-US" w:eastAsia="zh-CN"/>
        </w:rPr>
        <w:t>进一步加强预算绩效管理，建立一套“预算编制有目标、预算执行有监控、预算完成有评价、评价结果有反馈、反馈结果有应用”的全过程预算绩效管理机制。一是预算编制应做到程序规范、方法科学、编制及时、内容完整、项目细化、数据准确；二是预算编制过程中各部门间沟通协调充分，实现预算与资产配置相结合、与具体工作相对应，以逐步提升我单位预算绩效管理水平。</w:t>
      </w:r>
    </w:p>
    <w:p>
      <w:pPr>
        <w:keepNext w:val="0"/>
        <w:keepLines w:val="0"/>
        <w:spacing w:line="600" w:lineRule="exact"/>
        <w:ind w:firstLine="600" w:firstLineChars="200"/>
        <w:jc w:val="left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附表1：《宁乡市白马桥街道2022年部门整体支出绩效自评评分表 》 </w:t>
      </w:r>
    </w:p>
    <w:p>
      <w:pPr>
        <w:keepNext w:val="0"/>
        <w:keepLines w:val="0"/>
        <w:spacing w:line="600" w:lineRule="exact"/>
        <w:ind w:firstLine="600" w:firstLineChars="200"/>
        <w:jc w:val="left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附表2：《宁乡市白马桥街道2022年部门整体支出绩效自评基础数据表》</w:t>
      </w:r>
    </w:p>
    <w:p>
      <w:pPr>
        <w:keepNext w:val="0"/>
        <w:keepLines w:val="0"/>
        <w:spacing w:line="600" w:lineRule="exact"/>
        <w:ind w:firstLine="600" w:firstLineChars="200"/>
        <w:jc w:val="left"/>
        <w:rPr>
          <w:rFonts w:hint="eastAsia"/>
          <w:lang w:val="en-US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 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4500" w:firstLineChars="1500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宁乡市白马桥街道办事处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5100" w:firstLineChars="1700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2023年9月15日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36B045"/>
    <w:multiLevelType w:val="singleLevel"/>
    <w:tmpl w:val="BD36B045"/>
    <w:lvl w:ilvl="0" w:tentative="0">
      <w:start w:val="1"/>
      <w:numFmt w:val="chineseCounting"/>
      <w:suff w:val="nothing"/>
      <w:lvlText w:val="（%1）"/>
      <w:lvlJc w:val="left"/>
      <w:pPr>
        <w:ind w:left="240"/>
      </w:pPr>
      <w:rPr>
        <w:rFonts w:hint="eastAsia"/>
      </w:rPr>
    </w:lvl>
  </w:abstractNum>
  <w:abstractNum w:abstractNumId="1">
    <w:nsid w:val="2B243C19"/>
    <w:multiLevelType w:val="singleLevel"/>
    <w:tmpl w:val="2B243C19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8F9FC49"/>
    <w:multiLevelType w:val="singleLevel"/>
    <w:tmpl w:val="58F9FC49"/>
    <w:lvl w:ilvl="0" w:tentative="0">
      <w:start w:val="2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2EzMjk4OWE0N2UyNjMyZWMxZjYzNzE0ODM5OTYwODMifQ=="/>
  </w:docVars>
  <w:rsids>
    <w:rsidRoot w:val="373D746F"/>
    <w:rsid w:val="0003313C"/>
    <w:rsid w:val="0004780C"/>
    <w:rsid w:val="000B4A46"/>
    <w:rsid w:val="00181C19"/>
    <w:rsid w:val="00202EC4"/>
    <w:rsid w:val="00235565"/>
    <w:rsid w:val="00276306"/>
    <w:rsid w:val="00285B4F"/>
    <w:rsid w:val="003031EC"/>
    <w:rsid w:val="00404FBF"/>
    <w:rsid w:val="00482F5C"/>
    <w:rsid w:val="004F4B55"/>
    <w:rsid w:val="00515B59"/>
    <w:rsid w:val="005E0D18"/>
    <w:rsid w:val="006740A8"/>
    <w:rsid w:val="006F4EDD"/>
    <w:rsid w:val="007072F2"/>
    <w:rsid w:val="0071776B"/>
    <w:rsid w:val="007D456B"/>
    <w:rsid w:val="00846BAC"/>
    <w:rsid w:val="008B5C82"/>
    <w:rsid w:val="009759D8"/>
    <w:rsid w:val="00A07B05"/>
    <w:rsid w:val="00A64FFF"/>
    <w:rsid w:val="00B22346"/>
    <w:rsid w:val="00B64CBB"/>
    <w:rsid w:val="00BC070E"/>
    <w:rsid w:val="00BD7447"/>
    <w:rsid w:val="00C3627B"/>
    <w:rsid w:val="00CA469D"/>
    <w:rsid w:val="00D001AE"/>
    <w:rsid w:val="00DC58BA"/>
    <w:rsid w:val="00EF3A81"/>
    <w:rsid w:val="00F150C8"/>
    <w:rsid w:val="015314D2"/>
    <w:rsid w:val="030171B2"/>
    <w:rsid w:val="06A36AEA"/>
    <w:rsid w:val="07BA2595"/>
    <w:rsid w:val="080062CE"/>
    <w:rsid w:val="1D893818"/>
    <w:rsid w:val="1E0D6A4E"/>
    <w:rsid w:val="1E224C0B"/>
    <w:rsid w:val="1EE47CDE"/>
    <w:rsid w:val="21202AA1"/>
    <w:rsid w:val="292D0ED7"/>
    <w:rsid w:val="2B2736D9"/>
    <w:rsid w:val="2BA05264"/>
    <w:rsid w:val="2FAA3826"/>
    <w:rsid w:val="31415708"/>
    <w:rsid w:val="315741AA"/>
    <w:rsid w:val="316E0D4E"/>
    <w:rsid w:val="31D6081E"/>
    <w:rsid w:val="329545F7"/>
    <w:rsid w:val="33826AAD"/>
    <w:rsid w:val="37022A09"/>
    <w:rsid w:val="373D746F"/>
    <w:rsid w:val="3CD0625B"/>
    <w:rsid w:val="3D2B45B1"/>
    <w:rsid w:val="3FBA5619"/>
    <w:rsid w:val="3FF52588"/>
    <w:rsid w:val="442742D8"/>
    <w:rsid w:val="48DF5DCA"/>
    <w:rsid w:val="49AC1B56"/>
    <w:rsid w:val="4AAC578D"/>
    <w:rsid w:val="5096380C"/>
    <w:rsid w:val="53BB6DED"/>
    <w:rsid w:val="55E365F9"/>
    <w:rsid w:val="59E2772A"/>
    <w:rsid w:val="5A0C5F17"/>
    <w:rsid w:val="5B444A50"/>
    <w:rsid w:val="5C785B48"/>
    <w:rsid w:val="5DB524FD"/>
    <w:rsid w:val="67C31D65"/>
    <w:rsid w:val="6E6B5A8C"/>
    <w:rsid w:val="77151968"/>
    <w:rsid w:val="7AB16EE7"/>
    <w:rsid w:val="7AE41089"/>
    <w:rsid w:val="7DF64150"/>
    <w:rsid w:val="7F6D6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kern w:val="2"/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196E2E-347F-4BEA-9315-E28D7A2AA78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4423</Words>
  <Characters>4992</Characters>
  <Lines>37</Lines>
  <Paragraphs>10</Paragraphs>
  <TotalTime>2</TotalTime>
  <ScaleCrop>false</ScaleCrop>
  <LinksUpToDate>false</LinksUpToDate>
  <CharactersWithSpaces>5130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2021-03-22T03:26:00Z</dcterms:created>
  <dc:creator>你是翘首以盼的惊喜</dc:creator>
  <cp:lastModifiedBy>孙玉玲</cp:lastModifiedBy>
  <cp:lastPrinted>2023-09-14T07:11:00Z</cp:lastPrinted>
  <dcterms:modified xsi:type="dcterms:W3CDTF">2023-09-15T03:28:55Z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990BB3131C734562BDD3ABBA0FD0DAB6</vt:lpwstr>
  </property>
  <property fmtid="{D5CDD505-2E9C-101B-9397-08002B2CF9AE}" pid="4" name="commondata">
    <vt:lpwstr>eyJoZGlkIjoiN2EzMjk4OWE0N2UyNjMyZWMxZjYzNzE0ODM5OTYwODMifQ==</vt:lpwstr>
  </property>
</Properties>
</file>