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53C" w:rsidRDefault="00F421D3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宁乡市白马桥街道2021年部门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整体支出</w:t>
      </w:r>
    </w:p>
    <w:p w:rsidR="0008053C" w:rsidRDefault="00F421D3">
      <w:pPr>
        <w:spacing w:line="600" w:lineRule="exact"/>
        <w:jc w:val="center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>绩效自评报告</w:t>
      </w:r>
    </w:p>
    <w:p w:rsidR="0008053C" w:rsidRDefault="0008053C">
      <w:pPr>
        <w:spacing w:line="600" w:lineRule="exact"/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08053C" w:rsidRDefault="0008053C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根据宁乡市财政局《关于印发&lt;宁乡市全面实施预算绩效管理的实施办法&gt;的通知》（宁财绩〔2021〕4号）、宁乡市财政局《关于开展2021年度部门预算单位绩效自评工作的通知》（宁财〔2022〕6号）等相关文件要求，我单位组织绩效评价小组对白马桥街道2021年整体支出实施了绩效自评。现将项目绩效自评情况报告如下：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一、单位基本情况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（一）机构组成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白马桥街道位于宁乡市南大门，截至2021年年末，本单位辖有7个居民委员会，103个居民小组，户籍人口约3万人。本单位部门共设三中心一所一机关一执法队，即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社会事务综合服务中心、农业综合服务中心、政务服务中心、司法所、政府机关、综合执法大队。</w:t>
      </w:r>
    </w:p>
    <w:p w:rsidR="0008053C" w:rsidRDefault="00F421D3" w:rsidP="006C199A">
      <w:pPr>
        <w:numPr>
          <w:ilvl w:val="0"/>
          <w:numId w:val="1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0"/>
          <w:szCs w:val="30"/>
        </w:rPr>
        <w:t>各机构具体职能职责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1.社会事务综合服务中心。主要承担民政事务、社保保障、生殖健康宣传、咨询、检查和提供计划生育技术指导服务、乡村规划、环保、建设、城管等管理和执法职责。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2.农业综合服务中心。主要承担农林水等产业新技术、新品种的示范、推广；动植物防疫检疫、病虫害及疫情的检测、预报、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lastRenderedPageBreak/>
        <w:t>防治和处理；畜禽与畜禽产品检疫、检验；森林资源管理、护林防火；水资源管理、防汛抗旱、农田水利建设；农业机械管理；农产品质量安全监测等职责。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3.政务服务中心。主要承担文化宣传、广播影视、法制教育、文艺演出、群众体育、科技推广、科普培训、安全生产监管、食品安全监管等职责。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4.司法所。主要承担司法调处工作。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5.政府机关。承担全镇税收收缴，财政资金收入、调度、使用和监管、主管政府全面工作。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6.综合执法大队。主要负责辖区内城管、综合治理等职责。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（三）人员概况。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共有在职人员127人，其中政府机关45人，司法所3人，社会事务综合服务中心27人（含城管执法6人），农业服务中心49人，政务服务中心3人，较上年增加1人。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（四）2021年整体支出情况 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本单位收入决算数为7,202.57万元(含一般公共预算财政拨款6,783.85万元，政府性基金预算财政拨款90.85万元，国有资本经营预算财政拨款4.05万元，其他收入323.82万元），支出决算数为7,202.57万元（含基本支出3,035.38万元，项目支出4,167.19万元）。本年度实现收支平衡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2020年支出总额8,628.22万元，本年度支出决算数相对上一年度减少1,425.65万元，下降了16.52%。主要原因为项目支出的减少。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lastRenderedPageBreak/>
        <w:t>二、一般公共预算支出情况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（一）基本支出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1.基本支出整体情况 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2021年度本单位基本支出决算数为3,035.38万元，占年度总支出的42.14%。相对上一年度基本支出决算数2,444.93万元，上升了24.15%。</w:t>
      </w:r>
    </w:p>
    <w:p w:rsidR="0008053C" w:rsidRDefault="00F421D3">
      <w:pPr>
        <w:numPr>
          <w:ilvl w:val="0"/>
          <w:numId w:val="2"/>
        </w:numPr>
        <w:spacing w:line="600" w:lineRule="exact"/>
        <w:ind w:left="0"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按支出性质和经济分类，基本支出具体包括：工资福利支出 2,407.35万元；商品和服务支出476.69万元；对个人和家庭的补助145.75万元；资本性支出5.59万元。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（2）按支出功能科目分类，基本支出具体包括：一般公共服务支出1,826.52万元；公共安全支出41.92万元；社会保障和就业支出521.47万元；卫生健康支出69.90 万元；城乡社区支出80.26万元；农林水支出411.30万元；住房保障支出84.01万元。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2.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“三公”经费管理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2021年“三公”经费预算总额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29</w:t>
      </w:r>
      <w:r>
        <w:rPr>
          <w:rFonts w:ascii="仿宋_GB2312" w:eastAsia="仿宋_GB2312" w:hAnsi="仿宋_GB2312" w:cs="仿宋_GB2312" w:hint="eastAsia"/>
          <w:sz w:val="30"/>
          <w:szCs w:val="30"/>
        </w:rPr>
        <w:t>.89万元，决算总额3.19万元，决算总额为年初预算的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10.67</w:t>
      </w:r>
      <w:r>
        <w:rPr>
          <w:rFonts w:ascii="仿宋_GB2312" w:eastAsia="仿宋_GB2312" w:hAnsi="仿宋_GB2312" w:cs="仿宋_GB2312" w:hint="eastAsia"/>
          <w:sz w:val="30"/>
          <w:szCs w:val="30"/>
        </w:rPr>
        <w:t>%，少支出了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26.7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万元；上年度决算总额为</w:t>
      </w:r>
      <w:r w:rsidR="006C199A">
        <w:rPr>
          <w:rFonts w:ascii="仿宋_GB2312" w:eastAsia="仿宋_GB2312" w:hAnsi="仿宋_GB2312" w:cs="仿宋_GB2312" w:hint="eastAsia"/>
          <w:sz w:val="30"/>
          <w:szCs w:val="30"/>
        </w:rPr>
        <w:t>3.19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万元，本年度决算总额</w:t>
      </w:r>
      <w:r w:rsidR="006C199A">
        <w:rPr>
          <w:rFonts w:ascii="仿宋_GB2312" w:eastAsia="仿宋_GB2312" w:hAnsi="仿宋_GB2312" w:cs="仿宋_GB2312" w:hint="eastAsia"/>
          <w:sz w:val="30"/>
          <w:szCs w:val="30"/>
        </w:rPr>
        <w:t>与上年持平</w:t>
      </w:r>
      <w:r>
        <w:rPr>
          <w:rFonts w:ascii="仿宋_GB2312" w:eastAsia="仿宋_GB2312" w:hAnsi="仿宋_GB2312" w:cs="仿宋_GB2312" w:hint="eastAsia"/>
          <w:sz w:val="30"/>
          <w:szCs w:val="30"/>
        </w:rPr>
        <w:t>。具体分项说明如下：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(1)公务接待费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2021年预算安排2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5</w:t>
      </w:r>
      <w:r>
        <w:rPr>
          <w:rFonts w:ascii="仿宋_GB2312" w:eastAsia="仿宋_GB2312" w:hAnsi="仿宋_GB2312" w:cs="仿宋_GB2312" w:hint="eastAsia"/>
          <w:sz w:val="30"/>
          <w:szCs w:val="30"/>
        </w:rPr>
        <w:t>.89万元，决算数为2.53万元，决算数为年初预算的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9.77</w:t>
      </w:r>
      <w:r>
        <w:rPr>
          <w:rFonts w:ascii="仿宋_GB2312" w:eastAsia="仿宋_GB2312" w:hAnsi="仿宋_GB2312" w:cs="仿宋_GB2312" w:hint="eastAsia"/>
          <w:sz w:val="30"/>
          <w:szCs w:val="30"/>
        </w:rPr>
        <w:t>%，少支出了2</w:t>
      </w:r>
      <w:r w:rsidR="00963E14">
        <w:rPr>
          <w:rFonts w:ascii="仿宋_GB2312" w:eastAsia="仿宋_GB2312" w:hAnsi="仿宋_GB2312" w:cs="仿宋_GB2312" w:hint="eastAsia"/>
          <w:sz w:val="30"/>
          <w:szCs w:val="30"/>
        </w:rPr>
        <w:t>3</w:t>
      </w:r>
      <w:r>
        <w:rPr>
          <w:rFonts w:ascii="仿宋_GB2312" w:eastAsia="仿宋_GB2312" w:hAnsi="仿宋_GB2312" w:cs="仿宋_GB2312" w:hint="eastAsia"/>
          <w:sz w:val="30"/>
          <w:szCs w:val="30"/>
        </w:rPr>
        <w:t>.36万元；上年度决算数为</w:t>
      </w:r>
      <w:r w:rsidR="006C199A">
        <w:rPr>
          <w:rFonts w:ascii="仿宋_GB2312" w:eastAsia="仿宋_GB2312" w:hAnsi="仿宋_GB2312" w:cs="仿宋_GB2312" w:hint="eastAsia"/>
          <w:sz w:val="30"/>
          <w:szCs w:val="30"/>
        </w:rPr>
        <w:t>2.53</w:t>
      </w:r>
      <w:r>
        <w:rPr>
          <w:rFonts w:ascii="仿宋_GB2312" w:eastAsia="仿宋_GB2312" w:hAnsi="仿宋_GB2312" w:cs="仿宋_GB2312" w:hint="eastAsia"/>
          <w:sz w:val="30"/>
          <w:szCs w:val="30"/>
        </w:rPr>
        <w:t>万元，</w:t>
      </w:r>
      <w:r w:rsidR="006C199A">
        <w:rPr>
          <w:rFonts w:ascii="仿宋_GB2312" w:eastAsia="仿宋_GB2312" w:hAnsi="仿宋_GB2312" w:cs="仿宋_GB2312" w:hint="eastAsia"/>
          <w:sz w:val="30"/>
          <w:szCs w:val="30"/>
        </w:rPr>
        <w:t>本年度决算总额与上年持平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lastRenderedPageBreak/>
        <w:t>(2)因公出国（境）经费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</w:t>
      </w:r>
      <w:r w:rsidR="006C199A">
        <w:rPr>
          <w:rFonts w:ascii="仿宋_GB2312" w:eastAsia="仿宋_GB2312" w:hAnsi="仿宋_GB2312" w:cs="仿宋_GB2312" w:hint="eastAsia"/>
          <w:sz w:val="30"/>
          <w:szCs w:val="30"/>
        </w:rPr>
        <w:t>1</w:t>
      </w:r>
      <w:r>
        <w:rPr>
          <w:rFonts w:ascii="仿宋_GB2312" w:eastAsia="仿宋_GB2312" w:hAnsi="仿宋_GB2312" w:cs="仿宋_GB2312" w:hint="eastAsia"/>
          <w:sz w:val="30"/>
          <w:szCs w:val="30"/>
        </w:rPr>
        <w:t>年预算安排0万元，决算0万元。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(3)公务用车购置及运行维护费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本单位现有公务用车1辆，2021年预算安排公务用车购置费0元、运行维护费4万元，运行维护费决算支出0.66万元，决算数为年初预算的16.50%，少支出了3.34万元；上年度决算数为0.66万元，与上年持平。</w:t>
      </w:r>
    </w:p>
    <w:p w:rsidR="0008053C" w:rsidRDefault="00F421D3" w:rsidP="006C199A">
      <w:pPr>
        <w:numPr>
          <w:ilvl w:val="0"/>
          <w:numId w:val="3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项目支出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1.项目支出整体情况 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2021年本单位项目支出决算数为4,167.19万元，占年度总支出的57.86%。相对上一年度项目支出决算数6,183.29万元，下降了32.61%。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2.项目支出具体情况 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（1）按支出性质和经济分类，具体包括：商品和服务支出556.74万元；对个人和家庭的补助支出406.01万元；资本性支出(基本建设）757.88万元；资本性支出：2,446.56万元。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2）按支出功能科目分类，具体包括：一般公共服务支出1,275.02万元；国防支出3.00万元；公共安全支出53.77万元；教育支出244.03万元；文化旅游体育与传媒支出25.40万元；社会保障和就业支出386.75万元；卫生健康支出54.25万元；节能环保支出247.50万元；城乡社区支出588.13万元；农林水支出551.04万元；交通运输支出23.56万元；住房保障支出699.31万元；国有资本经营预算支出4.05万元；其他支出11.39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万元。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(三)项目资金使用管理情况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单位财政所在宁乡市乡镇财政管理局的领导下，认真遵照《宁乡市乡镇财政资金监管实施办法》，积极开展财政资金监管工作。成立了财政资金监管领导小组，对各种财政资金组织开展督促检查。监管小组成员加强学习、熟练业务，积极开展抽查巡查，对每个项目及时做好事前、事中、事后巡查工作，及时开展绩效自评工作，切实做到“用钱必有效，无效必问责”，确保各项目资金的使用符合政策要求并及时到位。部门预决算编报工作严格按照上级通知精神，及时进行上报，做到了账表一致，并按相关规定在宁乡市人民政府门户网站上进行公开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同时，本单位根据单位实际情况制定了《白马桥街道办事处财务管理制度》、《白马桥街道办事处项目工程管理制度》等制度。资金的拨付具有完整的审批程序和手续，项目的重大开支按照财务管理制度及“三重一大”的要求事前经过评估论证。使用范围符合部门预算批复的用途，不存在截留、挤占、挪用、虚列支出等情况，预决算及“三公”经费信息均按规定时限公开。</w:t>
      </w:r>
    </w:p>
    <w:p w:rsidR="0008053C" w:rsidRDefault="00F421D3" w:rsidP="006C199A">
      <w:pPr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（四）资产管理情况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国有资产管理落实到位，已将所属单位国有资产纳入国有资产系统管理，资产变动情况已及时录入系统，由机关固定资产管理员陈素平负责管理系统，做到了账实相符，账账相符。严格落实各项审批程序，没有出现资产流失、资产失控和资产价值非正常贬值消耗等情况。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现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对我单位本年度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资产管理情况报告如下：</w:t>
      </w:r>
    </w:p>
    <w:p w:rsidR="0008053C" w:rsidRDefault="00F421D3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00"/>
        <w:jc w:val="both"/>
        <w:rPr>
          <w:rFonts w:ascii="仿宋_GB2312" w:eastAsia="仿宋_GB2312" w:hAnsi="仿宋_GB2312" w:cs="仿宋_GB2312"/>
          <w:color w:val="333333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lastRenderedPageBreak/>
        <w:t>1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.存量资产情况</w:t>
      </w:r>
    </w:p>
    <w:p w:rsidR="0008053C" w:rsidRDefault="00F421D3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00"/>
        <w:jc w:val="both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截止到2021年底，本单位固定资产原值总额484.82万元，其中，房屋资产为311.78万元，占整个资产总额的64.31%；通用设备(含车辆）128.35万元，占资产总额的26.47%；专用设备12.91万元，占资产总额的2.66%；家具用具31.77万元，占资产总额的6.55%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2.2021年度，本单位资产配置情况正常，其中固定资产</w:t>
      </w:r>
      <w:r>
        <w:rPr>
          <w:rFonts w:ascii="仿宋_GB2312" w:eastAsia="仿宋_GB2312" w:hAnsi="仿宋_GB2312" w:cs="仿宋_GB2312" w:hint="eastAsia"/>
          <w:color w:val="333333"/>
          <w:sz w:val="30"/>
          <w:szCs w:val="30"/>
        </w:rPr>
        <w:t>484.82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万元，计提折旧163.06万元，固定资产净值321.76万元；在建工程期末为2,066.01万元，相比年初1,538.08万元，增加了527.93万元。</w:t>
      </w:r>
    </w:p>
    <w:p w:rsidR="0008053C" w:rsidRDefault="00F421D3">
      <w:pPr>
        <w:widowControl/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3.本单位没有利用国有资产对外投资、出租出借国有资产情况。</w:t>
      </w:r>
    </w:p>
    <w:p w:rsidR="0008053C" w:rsidRDefault="00F421D3">
      <w:pPr>
        <w:widowControl/>
        <w:spacing w:line="600" w:lineRule="exact"/>
        <w:ind w:firstLineChars="200" w:firstLine="600"/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4.本单位的资产基本能够满足履行职能的需要，没有空置和浪费现象。</w:t>
      </w:r>
    </w:p>
    <w:p w:rsidR="0008053C" w:rsidRDefault="00F421D3" w:rsidP="006C199A">
      <w:pPr>
        <w:widowControl/>
        <w:spacing w:line="600" w:lineRule="exact"/>
        <w:ind w:firstLineChars="200" w:firstLine="600"/>
        <w:rPr>
          <w:rFonts w:ascii="仿宋_GB2312" w:eastAsia="仿宋_GB2312" w:hAnsi="仿宋_GB2312" w:cs="仿宋_GB2312"/>
          <w:b/>
          <w:bCs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0"/>
          <w:szCs w:val="30"/>
        </w:rPr>
        <w:t>三、整体支出绩效情况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2021年，全年实现税收入库1.67亿元，同比增长6.92%，完成固定资产投资47.19亿元，完成全年任务的107%，同比增长19.5%；社会消费品零售总额11.54亿元，同比增长17.6%。实现了稳中有增的发展目标。                                                                  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2021年度，在市委、市政府的坚强领导下，白马桥街道党工委、办事处紧紧围绕“山水洲城、幸福白马”的目标定位，真抓实干，克难奋进，各项事业发展呈现良好态势。</w:t>
      </w:r>
    </w:p>
    <w:p w:rsidR="0008053C" w:rsidRDefault="00F421D3" w:rsidP="006C199A">
      <w:pPr>
        <w:numPr>
          <w:ilvl w:val="0"/>
          <w:numId w:val="4"/>
        </w:numPr>
        <w:spacing w:line="600" w:lineRule="exact"/>
        <w:ind w:left="0"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推动社会大局安全稳定。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创新社会治理。深入贯彻落实长沙市委“党建聚合力”工程，切实发挥党建引领社会治理的作用，做好“党建+”文章，扎实推进党员干部“四联五到位”民情大走访活动，按照“党建引领、网格治理、多方参与、居民自治”的工作思路，创新推行党建聚合力、“联心136”工程，有效畅通居民群众诉求、协调、反馈、建议等渠道，前三季度，共收集问题1307个，除小区停车难、安置区办证、两安用地、凤形、正农老居民区基础设施滞后等问题需</w:t>
      </w:r>
      <w:r>
        <w:rPr>
          <w:rFonts w:ascii="仿宋_GB2312" w:eastAsia="仿宋_GB2312" w:hAnsi="仿宋_GB2312" w:cs="仿宋_GB2312" w:hint="eastAsia"/>
          <w:sz w:val="30"/>
          <w:szCs w:val="30"/>
          <w:shd w:val="clear" w:color="auto" w:fill="FFFFFF"/>
        </w:rPr>
        <w:t>等待上级政策外，</w:t>
      </w:r>
      <w:r>
        <w:rPr>
          <w:rFonts w:ascii="仿宋_GB2312" w:eastAsia="仿宋_GB2312" w:hAnsi="仿宋_GB2312" w:cs="仿宋_GB2312" w:hint="eastAsia"/>
          <w:sz w:val="30"/>
          <w:szCs w:val="30"/>
        </w:rPr>
        <w:t>已办结1281个，办结率达到98.01%，涉及的群众满意度达100%。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强化综合治理。始终坚持人民至上、生命至上，全力推进平安白马建设；突出道路交通、工贸企业、工地、消防、食品、校园、网络等重点领域安全治理，严管重罚立案查处存在安全隐患的生产企业26家，罚款10.8万元。全年集中开展交通执法行动96次，劝导整治110余次，拘留无牌无证驾驶29人，现场处罚、教育2800多人次。在重要节假日，街道、社区干部路段值守，全力防风险、除隐患、遏事故，保障居民安全出行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/>
          <w:sz w:val="30"/>
          <w:szCs w:val="30"/>
        </w:rPr>
        <w:t>维护社会稳定。以解决问题为抓手，强化12名重点人员管控，扎实推进信访积案“减量清零”行动；用心用情成功化解曹德明、钟南香夫妇、钟细端、曾正才和谢寿文多年的信访积案；一直以来困扰街道的15件信访问题，绝大多数已得到解决，民调位列全市第三，居民幸福感、满意度得到大幅提升。</w:t>
      </w:r>
    </w:p>
    <w:p w:rsidR="0008053C" w:rsidRDefault="00F421D3" w:rsidP="006C199A">
      <w:pPr>
        <w:numPr>
          <w:ilvl w:val="0"/>
          <w:numId w:val="4"/>
        </w:numPr>
        <w:spacing w:line="600" w:lineRule="exact"/>
        <w:ind w:left="0" w:firstLineChars="200" w:firstLine="600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做好常态疫情防控，推动民生事业全面进步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面对疫情反弹，街道上下切实提高政治站位，全面落实“外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防输入、内防反弹”的总体防控策略，按照“及时发现、快速处置、精准管控、有效救治”的原则，迅速启动疫情防控应急机制，精准落实防疫防控宣传、返（来）宁人员申报筛查、居家隔离监测，“六包一”责任管控等疫情防控制度，安全有序做好疫苗接种工作和疫情联防联控工作。期间，先后进行两次核酸检测，累计检测人数达到13.2万人次，结果均为阴性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为民办实事解难题，街道党工委坚持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shd w:val="clear" w:color="auto" w:fill="FFFFFF"/>
        </w:rPr>
        <w:t>以解决群众反映的问题为出发点，以提升群众满意度为落脚点，全面</w:t>
      </w:r>
      <w:r>
        <w:rPr>
          <w:rFonts w:ascii="仿宋_GB2312" w:eastAsia="仿宋_GB2312" w:hAnsi="仿宋_GB2312" w:cs="仿宋_GB2312" w:hint="eastAsia"/>
          <w:sz w:val="30"/>
          <w:szCs w:val="30"/>
        </w:rPr>
        <w:t>落实五保、低保、医保、养保等保障政策，扎实推进</w:t>
      </w:r>
      <w:r>
        <w:rPr>
          <w:rFonts w:ascii="仿宋_GB2312" w:eastAsia="仿宋_GB2312" w:hAnsi="仿宋_GB2312" w:cs="仿宋_GB2312" w:hint="eastAsia"/>
          <w:bCs/>
          <w:sz w:val="30"/>
          <w:szCs w:val="30"/>
        </w:rPr>
        <w:t>养保核查“回头看”，共计核查22430人，核查率达100%。实现</w:t>
      </w:r>
      <w:r>
        <w:rPr>
          <w:rFonts w:ascii="仿宋_GB2312" w:eastAsia="仿宋_GB2312" w:hAnsi="仿宋_GB2312" w:cs="仿宋_GB2312" w:hint="eastAsia"/>
          <w:sz w:val="30"/>
          <w:szCs w:val="30"/>
        </w:rPr>
        <w:t>全覆盖；认真落实家庭医生签约服务，实现扎实推进免费健康体检和公共卫生服务；筹资300余万元，完成对滨江小学食堂、消防设施，白马桥中心小学田径场进行提质改造；按政策落实8户监测对象一对一结对帮扶，安排6.2万元用于15户脱贫不稳定户公益性岗位，保证所有农业人口人均年收入大于6500元。同时，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shd w:val="clear" w:color="auto" w:fill="FFFFFF"/>
        </w:rPr>
        <w:t>充分发挥网格化管理作用，深入开展“我为群众办实事”</w:t>
      </w:r>
      <w:r>
        <w:rPr>
          <w:rFonts w:ascii="仿宋_GB2312" w:eastAsia="仿宋_GB2312" w:hAnsi="仿宋_GB2312" w:cs="仿宋_GB2312" w:hint="eastAsia"/>
          <w:sz w:val="30"/>
          <w:szCs w:val="30"/>
        </w:rPr>
        <w:t>，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shd w:val="clear" w:color="auto" w:fill="FFFFFF"/>
        </w:rPr>
        <w:t>全力破解网格难题，主动回应人民群众呼声，让“末梢治理”难点变亮点。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（三）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聚焦产业项目，优化营商环境，经济指标稳中有进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压实党政班子一对一联系企业项目责任和网格干部责任，积极营造良好的施工、经营环境，重点帮促吾悦广场、凤凰新城、湘龙府、珺钰府等9个地产项目建设提速；域内5个市重大项目（吾悦广场、珺钰府、湘龙府、香山文景苑、凤凰新城），1个新增房产项目（兆基沩水玥）建设势头强劲，另3个地产项目按</w:t>
      </w: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计划稳步推进。6月11日吾悦广场商业综合体正式投入运营，10万平方米商业满铺开业，引入品牌达232个。积极向上争资1000余万元，推动盐业公司、丽水家园、肉食公司三个老旧小区改造项目建设，丽水家园小区改造项目代表宁乡迎接贵州省开阳县党政代表观摩。</w:t>
      </w:r>
    </w:p>
    <w:p w:rsidR="0008053C" w:rsidRDefault="00F421D3" w:rsidP="006C199A">
      <w:pPr>
        <w:numPr>
          <w:ilvl w:val="0"/>
          <w:numId w:val="5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存在的问题及建议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bCs/>
          <w:sz w:val="30"/>
          <w:szCs w:val="30"/>
          <w:highlight w:val="yellow"/>
        </w:rPr>
      </w:pPr>
      <w:r>
        <w:rPr>
          <w:rFonts w:ascii="仿宋_GB2312" w:eastAsia="仿宋_GB2312" w:hAnsi="仿宋_GB2312" w:cs="仿宋_GB2312" w:hint="eastAsia"/>
          <w:bCs/>
          <w:sz w:val="30"/>
          <w:szCs w:val="30"/>
        </w:rPr>
        <w:t>2021年度本单位预算数进行了一定幅度的调整，预算编制的精准度有待提高。下一年度，本单位将进一步强化预算管理意识，预算编制前多与有关各方做好沟通衔接，提高预算编制的科学性、合理性、准确性和可控性。</w:t>
      </w:r>
    </w:p>
    <w:p w:rsidR="0008053C" w:rsidRDefault="00F421D3" w:rsidP="006C199A">
      <w:pPr>
        <w:numPr>
          <w:ilvl w:val="0"/>
          <w:numId w:val="5"/>
        </w:numPr>
        <w:spacing w:line="600" w:lineRule="exact"/>
        <w:ind w:firstLineChars="200" w:firstLine="600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下一步改进的措施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（一）科学编制年初预算，严格预算调整审核。进一步细化，标准化公用经费预算编制依据，确保机构正常运转；严格控制公用经费预算调增的审核，明确预算调整的限定范围，规范预算调整额度的审批权限。</w:t>
      </w:r>
    </w:p>
    <w:p w:rsidR="0008053C" w:rsidRDefault="00F421D3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（二）加强预算绩效管理。进一步强化绩效管理理念，及时总结项目的资金使用情况、预算执行情况、项目组织实施情况及项目绩效情况，准确、规范填写绩效自评报告并及时报送，以发挥自我评价的效果，在自评价中总结经验、发现问题，在自评价中提升项目及资金管理水平。</w:t>
      </w:r>
    </w:p>
    <w:p w:rsidR="0008053C" w:rsidRDefault="0008053C">
      <w:pPr>
        <w:spacing w:line="6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</w:p>
    <w:p w:rsidR="0008053C" w:rsidRDefault="00F421D3">
      <w:pPr>
        <w:spacing w:line="6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附件1：《宁乡市白马桥街道2021年部门整体支出绩效自评评分表 》 </w:t>
      </w:r>
    </w:p>
    <w:p w:rsidR="0008053C" w:rsidRDefault="00F421D3">
      <w:pPr>
        <w:spacing w:line="600" w:lineRule="exact"/>
        <w:ind w:firstLineChars="200" w:firstLine="60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lastRenderedPageBreak/>
        <w:t>附件2：《宁乡市白马桥街道2021年部门整体支出绩效自评基础数据表》</w:t>
      </w:r>
    </w:p>
    <w:p w:rsidR="0008053C" w:rsidRDefault="00F421D3">
      <w:pPr>
        <w:spacing w:line="600" w:lineRule="exact"/>
        <w:ind w:firstLineChars="200" w:firstLine="600"/>
        <w:jc w:val="left"/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                                                             </w:t>
      </w:r>
    </w:p>
    <w:p w:rsidR="0008053C" w:rsidRDefault="0008053C">
      <w:pPr>
        <w:spacing w:line="60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</w:p>
    <w:p w:rsidR="0008053C" w:rsidRDefault="0008053C">
      <w:pPr>
        <w:pStyle w:val="2"/>
        <w:rPr>
          <w:rFonts w:ascii="仿宋_GB2312" w:eastAsia="仿宋_GB2312" w:hAnsi="仿宋_GB2312" w:cs="仿宋_GB2312"/>
          <w:sz w:val="30"/>
          <w:szCs w:val="30"/>
        </w:rPr>
      </w:pPr>
    </w:p>
    <w:p w:rsidR="0008053C" w:rsidRDefault="0008053C">
      <w:pPr>
        <w:rPr>
          <w:rFonts w:ascii="仿宋_GB2312" w:eastAsia="仿宋_GB2312" w:hAnsi="仿宋_GB2312" w:cs="仿宋_GB2312"/>
          <w:sz w:val="30"/>
          <w:szCs w:val="30"/>
        </w:rPr>
      </w:pPr>
    </w:p>
    <w:p w:rsidR="0008053C" w:rsidRDefault="0008053C">
      <w:pPr>
        <w:pStyle w:val="2"/>
      </w:pPr>
    </w:p>
    <w:p w:rsidR="0008053C" w:rsidRDefault="00F421D3">
      <w:pPr>
        <w:spacing w:line="600" w:lineRule="exact"/>
        <w:ind w:firstLineChars="1500" w:firstLine="45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宁乡市白马桥街道办事处</w:t>
      </w:r>
    </w:p>
    <w:p w:rsidR="0008053C" w:rsidRDefault="00F421D3">
      <w:pPr>
        <w:spacing w:line="600" w:lineRule="exact"/>
        <w:ind w:firstLineChars="1700" w:firstLine="51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2022年4月25日</w:t>
      </w:r>
    </w:p>
    <w:sectPr w:rsidR="0008053C" w:rsidSect="0008053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5AB" w:rsidRDefault="004155AB" w:rsidP="0008053C">
      <w:r>
        <w:separator/>
      </w:r>
    </w:p>
  </w:endnote>
  <w:endnote w:type="continuationSeparator" w:id="1">
    <w:p w:rsidR="004155AB" w:rsidRDefault="004155AB" w:rsidP="000805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53C" w:rsidRDefault="00035D7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08053C" w:rsidRDefault="00035D7F">
                <w:pPr>
                  <w:pStyle w:val="a3"/>
                </w:pPr>
                <w:r>
                  <w:fldChar w:fldCharType="begin"/>
                </w:r>
                <w:r w:rsidR="00F421D3">
                  <w:instrText xml:space="preserve"> PAGE  \* MERGEFORMAT </w:instrText>
                </w:r>
                <w:r>
                  <w:fldChar w:fldCharType="separate"/>
                </w:r>
                <w:r w:rsidR="00963E14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5AB" w:rsidRDefault="004155AB" w:rsidP="0008053C">
      <w:r>
        <w:separator/>
      </w:r>
    </w:p>
  </w:footnote>
  <w:footnote w:type="continuationSeparator" w:id="1">
    <w:p w:rsidR="004155AB" w:rsidRDefault="004155AB" w:rsidP="000805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4E2BF7"/>
    <w:multiLevelType w:val="singleLevel"/>
    <w:tmpl w:val="954E2BF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D36B045"/>
    <w:multiLevelType w:val="singleLevel"/>
    <w:tmpl w:val="BD36B045"/>
    <w:lvl w:ilvl="0">
      <w:start w:val="1"/>
      <w:numFmt w:val="chineseCounting"/>
      <w:suff w:val="nothing"/>
      <w:lvlText w:val="（%1）"/>
      <w:lvlJc w:val="left"/>
      <w:pPr>
        <w:ind w:left="240"/>
      </w:pPr>
      <w:rPr>
        <w:rFonts w:hint="eastAsia"/>
      </w:rPr>
    </w:lvl>
  </w:abstractNum>
  <w:abstractNum w:abstractNumId="2">
    <w:nsid w:val="E538B596"/>
    <w:multiLevelType w:val="singleLevel"/>
    <w:tmpl w:val="E538B596"/>
    <w:lvl w:ilvl="0">
      <w:start w:val="1"/>
      <w:numFmt w:val="decimal"/>
      <w:suff w:val="nothing"/>
      <w:lvlText w:val="（%1）"/>
      <w:lvlJc w:val="left"/>
      <w:pPr>
        <w:ind w:left="-180"/>
      </w:pPr>
    </w:lvl>
  </w:abstractNum>
  <w:abstractNum w:abstractNumId="3">
    <w:nsid w:val="2B243C19"/>
    <w:multiLevelType w:val="singleLevel"/>
    <w:tmpl w:val="2B243C1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8F9FC49"/>
    <w:multiLevelType w:val="singleLevel"/>
    <w:tmpl w:val="58F9FC49"/>
    <w:lvl w:ilvl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2EzMjk4OWE0N2UyNjMyZWMxZjYzNzE0ODM5OTYwODMifQ=="/>
  </w:docVars>
  <w:rsids>
    <w:rsidRoot w:val="373D746F"/>
    <w:rsid w:val="0003313C"/>
    <w:rsid w:val="00035D7F"/>
    <w:rsid w:val="0004780C"/>
    <w:rsid w:val="0008053C"/>
    <w:rsid w:val="000B4A46"/>
    <w:rsid w:val="00181C19"/>
    <w:rsid w:val="00202EC4"/>
    <w:rsid w:val="00235565"/>
    <w:rsid w:val="00276306"/>
    <w:rsid w:val="00285B4F"/>
    <w:rsid w:val="003031EC"/>
    <w:rsid w:val="00404FBF"/>
    <w:rsid w:val="004155AB"/>
    <w:rsid w:val="00482F5C"/>
    <w:rsid w:val="004F4B55"/>
    <w:rsid w:val="00515B59"/>
    <w:rsid w:val="005E0D18"/>
    <w:rsid w:val="006740A8"/>
    <w:rsid w:val="006C199A"/>
    <w:rsid w:val="006F4EDD"/>
    <w:rsid w:val="007072F2"/>
    <w:rsid w:val="0071776B"/>
    <w:rsid w:val="007D456B"/>
    <w:rsid w:val="00846BAC"/>
    <w:rsid w:val="008B5C82"/>
    <w:rsid w:val="00963E14"/>
    <w:rsid w:val="009759D8"/>
    <w:rsid w:val="00A07B05"/>
    <w:rsid w:val="00A64FFF"/>
    <w:rsid w:val="00B22346"/>
    <w:rsid w:val="00B64CBB"/>
    <w:rsid w:val="00BC070E"/>
    <w:rsid w:val="00BD7447"/>
    <w:rsid w:val="00C3627B"/>
    <w:rsid w:val="00CA469D"/>
    <w:rsid w:val="00D001AE"/>
    <w:rsid w:val="00DC58BA"/>
    <w:rsid w:val="00EF3A81"/>
    <w:rsid w:val="00F150C8"/>
    <w:rsid w:val="00F421D3"/>
    <w:rsid w:val="030171B2"/>
    <w:rsid w:val="06A36AEA"/>
    <w:rsid w:val="07BA2595"/>
    <w:rsid w:val="080062CE"/>
    <w:rsid w:val="1E0D6A4E"/>
    <w:rsid w:val="1EE47CDE"/>
    <w:rsid w:val="21202AA1"/>
    <w:rsid w:val="292D0ED7"/>
    <w:rsid w:val="2B2736D9"/>
    <w:rsid w:val="2BA05264"/>
    <w:rsid w:val="2FAA3826"/>
    <w:rsid w:val="31415708"/>
    <w:rsid w:val="315741AA"/>
    <w:rsid w:val="31D6081E"/>
    <w:rsid w:val="329545F7"/>
    <w:rsid w:val="33826AAD"/>
    <w:rsid w:val="37022A09"/>
    <w:rsid w:val="373D746F"/>
    <w:rsid w:val="3CD0625B"/>
    <w:rsid w:val="3D2B45B1"/>
    <w:rsid w:val="3FBA5619"/>
    <w:rsid w:val="3FF52588"/>
    <w:rsid w:val="49AC1B56"/>
    <w:rsid w:val="5096380C"/>
    <w:rsid w:val="53BB6DED"/>
    <w:rsid w:val="55E365F9"/>
    <w:rsid w:val="59E2772A"/>
    <w:rsid w:val="5A0C5F17"/>
    <w:rsid w:val="5B444A50"/>
    <w:rsid w:val="5C785B48"/>
    <w:rsid w:val="67C31D65"/>
    <w:rsid w:val="6E6B5A8C"/>
    <w:rsid w:val="77151968"/>
    <w:rsid w:val="7AE41089"/>
    <w:rsid w:val="7DF64150"/>
    <w:rsid w:val="7F6D6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0805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08053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80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80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08053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sid w:val="0008053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08053C"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08053C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196E2E-347F-4BEA-9315-E28D7A2A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772</Words>
  <Characters>4407</Characters>
  <Application>Microsoft Office Word</Application>
  <DocSecurity>0</DocSecurity>
  <Lines>36</Lines>
  <Paragraphs>10</Paragraphs>
  <ScaleCrop>false</ScaleCrop>
  <Company>微软中国</Company>
  <LinksUpToDate>false</LinksUpToDate>
  <CharactersWithSpaces>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你是翘首以盼的惊喜</dc:creator>
  <cp:lastModifiedBy>微软用户</cp:lastModifiedBy>
  <cp:revision>8</cp:revision>
  <cp:lastPrinted>2022-04-24T03:13:00Z</cp:lastPrinted>
  <dcterms:created xsi:type="dcterms:W3CDTF">2021-03-22T03:26:00Z</dcterms:created>
  <dcterms:modified xsi:type="dcterms:W3CDTF">2022-09-06T02:23:00Z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990BB3131C734562BDD3ABBA0FD0DAB6</vt:lpwstr>
  </property>
  <property fmtid="{D5CDD505-2E9C-101B-9397-08002B2CF9AE}" pid="4" name="commondata">
    <vt:lpwstr>eyJoZGlkIjoiN2EzMjk4OWE0N2UyNjMyZWMxZjYzNzE0ODM5OTYwODMifQ==</vt:lpwstr>
  </property>
</Properties>
</file>